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7BF7" w14:textId="02E77D25" w:rsidR="005A3A0D" w:rsidRDefault="00EA5A78" w:rsidP="005A3A0D">
      <w:pPr>
        <w:pStyle w:val="Ttulo1"/>
        <w:spacing w:before="0" w:line="360" w:lineRule="auto"/>
        <w:jc w:val="center"/>
      </w:pPr>
      <w:bookmarkStart w:id="0" w:name="_Toc78367029"/>
      <w:r>
        <w:t>FICHA TÉCNICA</w:t>
      </w:r>
      <w:r w:rsidR="00BD6970" w:rsidRPr="00E8621D">
        <w:t xml:space="preserve"> </w:t>
      </w:r>
      <w:r w:rsidR="00BD6970">
        <w:t>D</w:t>
      </w:r>
      <w:r w:rsidR="00BD6970" w:rsidRPr="00E8621D">
        <w:t>O PRODUTO EDUCACIONAL</w:t>
      </w:r>
      <w:bookmarkEnd w:id="0"/>
      <w:r w:rsidR="00BD6970">
        <w:t xml:space="preserve"> </w:t>
      </w:r>
    </w:p>
    <w:p w14:paraId="33115521" w14:textId="5A6BE53F" w:rsidR="00BD6970" w:rsidRDefault="001D692E" w:rsidP="001D692E">
      <w:pPr>
        <w:spacing w:after="240" w:line="360" w:lineRule="auto"/>
        <w:jc w:val="center"/>
        <w:rPr>
          <w:rFonts w:eastAsiaTheme="majorEastAsia" w:cstheme="majorBidi"/>
          <w:b/>
          <w:bCs/>
          <w:szCs w:val="28"/>
        </w:rPr>
      </w:pPr>
      <w:r w:rsidRPr="001D692E">
        <w:rPr>
          <w:rFonts w:eastAsiaTheme="majorEastAsia" w:cstheme="majorBidi"/>
          <w:b/>
          <w:bCs/>
          <w:szCs w:val="28"/>
        </w:rPr>
        <w:t>MIGRAÇÕES INTERNACIONAIS E EDUCAÇÃO INTERCULTURAL – POSSIBILIDADES E DESAFIOS DO IFSP</w:t>
      </w:r>
    </w:p>
    <w:p w14:paraId="1935AA67" w14:textId="77777777" w:rsidR="00EA5A78" w:rsidRDefault="00EA5A78" w:rsidP="00BD6970">
      <w:pPr>
        <w:spacing w:line="360" w:lineRule="auto"/>
        <w:jc w:val="both"/>
        <w:rPr>
          <w:b/>
        </w:rPr>
      </w:pPr>
    </w:p>
    <w:p w14:paraId="62FCDFE0" w14:textId="10A79669" w:rsidR="00BD6970" w:rsidRDefault="00BD6970" w:rsidP="00BD6970">
      <w:pPr>
        <w:spacing w:line="360" w:lineRule="auto"/>
        <w:jc w:val="both"/>
        <w:rPr>
          <w:b/>
        </w:rPr>
      </w:pPr>
      <w:r>
        <w:rPr>
          <w:b/>
        </w:rPr>
        <w:t xml:space="preserve">Título: </w:t>
      </w:r>
      <w:r>
        <w:t xml:space="preserve"> </w:t>
      </w:r>
      <w:r w:rsidR="001D692E" w:rsidRPr="001D692E">
        <w:t xml:space="preserve">Migrações internacionais e educação intercultural – possibilidades e desafios do IFSP </w:t>
      </w:r>
    </w:p>
    <w:p w14:paraId="2E71470F" w14:textId="68F7896B" w:rsidR="00BD6970" w:rsidRPr="00A41AE2" w:rsidRDefault="00BD6970" w:rsidP="00BD6970">
      <w:pPr>
        <w:spacing w:line="360" w:lineRule="auto"/>
        <w:jc w:val="both"/>
      </w:pPr>
      <w:r>
        <w:rPr>
          <w:b/>
        </w:rPr>
        <w:t>Autor</w:t>
      </w:r>
      <w:r w:rsidR="00AC3E15">
        <w:rPr>
          <w:b/>
        </w:rPr>
        <w:t>e</w:t>
      </w:r>
      <w:r w:rsidR="00A41AE2">
        <w:rPr>
          <w:b/>
        </w:rPr>
        <w:t>s</w:t>
      </w:r>
      <w:r>
        <w:rPr>
          <w:b/>
        </w:rPr>
        <w:t xml:space="preserve">: </w:t>
      </w:r>
      <w:r w:rsidR="001D692E" w:rsidRPr="001D692E">
        <w:t>Yuri Ribeiro Moleiro</w:t>
      </w:r>
      <w:r w:rsidR="001D692E" w:rsidRPr="001D692E">
        <w:t xml:space="preserve"> </w:t>
      </w:r>
      <w:r w:rsidR="00A41AE2">
        <w:t xml:space="preserve">e </w:t>
      </w:r>
      <w:r w:rsidRPr="00302C9A">
        <w:rPr>
          <w:bCs/>
        </w:rPr>
        <w:t>Amanda Ribeiro Vieira</w:t>
      </w:r>
    </w:p>
    <w:p w14:paraId="539DC168" w14:textId="107F76F0" w:rsidR="00F71AB9" w:rsidRDefault="00F71AB9" w:rsidP="00BD6970">
      <w:pPr>
        <w:spacing w:line="360" w:lineRule="auto"/>
        <w:jc w:val="both"/>
        <w:rPr>
          <w:bCs/>
        </w:rPr>
      </w:pPr>
      <w:r>
        <w:rPr>
          <w:b/>
        </w:rPr>
        <w:t xml:space="preserve">Programa de Mestrado: </w:t>
      </w:r>
      <w:r>
        <w:rPr>
          <w:bCs/>
        </w:rPr>
        <w:t>Mestrado Profissional em Educação Profissional e Tecnológica (ProfEPT)</w:t>
      </w:r>
    </w:p>
    <w:p w14:paraId="4DDFCC51" w14:textId="77777777" w:rsidR="00F71AB9" w:rsidRDefault="00F71AB9" w:rsidP="00F71AB9">
      <w:pPr>
        <w:spacing w:line="360" w:lineRule="auto"/>
        <w:jc w:val="both"/>
      </w:pPr>
      <w:r>
        <w:rPr>
          <w:b/>
        </w:rPr>
        <w:t xml:space="preserve">Área de concentração: </w:t>
      </w:r>
      <w:r>
        <w:t xml:space="preserve">Educação Profissional e Tecnológica </w:t>
      </w:r>
    </w:p>
    <w:p w14:paraId="4ABFE423" w14:textId="53D1CEED" w:rsidR="00BD6970" w:rsidRDefault="00BD6970" w:rsidP="00BD6970">
      <w:pPr>
        <w:spacing w:line="360" w:lineRule="auto"/>
        <w:jc w:val="both"/>
      </w:pPr>
      <w:r>
        <w:rPr>
          <w:b/>
        </w:rPr>
        <w:t>Linha de pesquisa:</w:t>
      </w:r>
      <w:r w:rsidR="001D692E">
        <w:rPr>
          <w:b/>
        </w:rPr>
        <w:t xml:space="preserve"> </w:t>
      </w:r>
      <w:r w:rsidR="001D692E" w:rsidRPr="001D692E">
        <w:t>Organização e Memórias de Espaços Pedagógicos em Educação Profissional e Tecnológica</w:t>
      </w:r>
    </w:p>
    <w:p w14:paraId="12135C56" w14:textId="77777777" w:rsidR="00960CB4" w:rsidRDefault="00960CB4" w:rsidP="00960CB4">
      <w:pPr>
        <w:spacing w:line="360" w:lineRule="auto"/>
        <w:jc w:val="both"/>
      </w:pPr>
      <w:r>
        <w:rPr>
          <w:b/>
        </w:rPr>
        <w:t xml:space="preserve">Categoria do produto: </w:t>
      </w:r>
      <w:r>
        <w:t>Curso online de formação continuada de professores</w:t>
      </w:r>
    </w:p>
    <w:p w14:paraId="1AB29932" w14:textId="10F5535C" w:rsidR="00BD6970" w:rsidRDefault="00BD6970" w:rsidP="00BD6970">
      <w:pPr>
        <w:spacing w:line="360" w:lineRule="auto"/>
        <w:jc w:val="both"/>
      </w:pPr>
      <w:r>
        <w:rPr>
          <w:b/>
        </w:rPr>
        <w:t>Público alvo:</w:t>
      </w:r>
      <w:r>
        <w:t xml:space="preserve"> </w:t>
      </w:r>
      <w:r w:rsidR="001D692E">
        <w:t>Docentes do Instituto Federal de São Paulo (IFSP)</w:t>
      </w:r>
    </w:p>
    <w:p w14:paraId="7E54F329" w14:textId="1E94F3CF" w:rsidR="00BD6970" w:rsidRDefault="00BD6970" w:rsidP="00EA5A78">
      <w:pPr>
        <w:spacing w:line="360" w:lineRule="auto"/>
        <w:jc w:val="both"/>
      </w:pPr>
      <w:r>
        <w:rPr>
          <w:b/>
        </w:rPr>
        <w:t xml:space="preserve">Validação: </w:t>
      </w:r>
      <w:r>
        <w:t xml:space="preserve">O </w:t>
      </w:r>
      <w:r w:rsidR="00960CB4">
        <w:t>produto educacional, frut</w:t>
      </w:r>
      <w:r w:rsidR="007F31AB">
        <w:t>o</w:t>
      </w:r>
      <w:r w:rsidR="00960CB4">
        <w:t xml:space="preserve"> da dissertação de mestrado</w:t>
      </w:r>
      <w:r w:rsidR="007F31AB">
        <w:t xml:space="preserve"> “P</w:t>
      </w:r>
      <w:r w:rsidR="007F31AB" w:rsidRPr="007F31AB">
        <w:t>opulação migrante internacional e educação intercultural na educação profissional e tecnológica: uma perspectiva de internacionalização na formação continuada</w:t>
      </w:r>
      <w:r w:rsidR="007F31AB">
        <w:t xml:space="preserve">”, </w:t>
      </w:r>
      <w:r>
        <w:t xml:space="preserve">foi validado pela banca de defesa </w:t>
      </w:r>
      <w:r w:rsidR="00EA5A78">
        <w:t xml:space="preserve">de mestrado </w:t>
      </w:r>
      <w:r>
        <w:t>composta por 3 professores</w:t>
      </w:r>
      <w:r w:rsidR="00471E77">
        <w:t xml:space="preserve">: </w:t>
      </w:r>
      <w:r w:rsidR="00EA5A78">
        <w:t>Prof(a). Dr(a). Amanda Ribeiro Vieira – IFSP</w:t>
      </w:r>
      <w:r w:rsidR="00EA5A78">
        <w:t xml:space="preserve">; </w:t>
      </w:r>
      <w:r w:rsidR="00EA5A78">
        <w:t>Prof(a). Dr(a). Ana Sara Castaman – IFRS</w:t>
      </w:r>
      <w:r w:rsidR="00EA5A78">
        <w:t xml:space="preserve"> e </w:t>
      </w:r>
      <w:r w:rsidR="00EA5A78">
        <w:t>Prof. Dr. Eduardo César Catanozi – IFSP</w:t>
      </w:r>
      <w:r w:rsidR="004F67F0">
        <w:t>.</w:t>
      </w:r>
      <w:r w:rsidR="00CC6AE2">
        <w:t xml:space="preserve"> A banca foi realizada no dia 17 de fevereiro de 2022.</w:t>
      </w:r>
    </w:p>
    <w:p w14:paraId="1C7BCFD1" w14:textId="75E88421" w:rsidR="009E1F21" w:rsidRDefault="009E1F21" w:rsidP="009E1F21">
      <w:pPr>
        <w:spacing w:line="360" w:lineRule="auto"/>
        <w:jc w:val="both"/>
        <w:rPr>
          <w:color w:val="000000" w:themeColor="text1"/>
        </w:rPr>
      </w:pPr>
      <w:r>
        <w:rPr>
          <w:b/>
        </w:rPr>
        <w:t>Disponível em</w:t>
      </w:r>
      <w:r w:rsidRPr="00AB2F24">
        <w:rPr>
          <w:bCs/>
        </w:rPr>
        <w:t xml:space="preserve">: </w:t>
      </w:r>
      <w:hyperlink r:id="rId7" w:history="1">
        <w:r w:rsidR="007D0E15" w:rsidRPr="00757D29">
          <w:rPr>
            <w:rStyle w:val="Hyperlink"/>
            <w:bCs/>
          </w:rPr>
          <w:t>http://ead.ti.srt.ifsp.edu.br/</w:t>
        </w:r>
      </w:hyperlink>
      <w:r w:rsidR="007D0E15">
        <w:rPr>
          <w:bCs/>
        </w:rPr>
        <w:t xml:space="preserve"> </w:t>
      </w:r>
    </w:p>
    <w:p w14:paraId="1E11E42E" w14:textId="0259D980" w:rsidR="00AC3E15" w:rsidRPr="007D0E15" w:rsidRDefault="00AC3E15" w:rsidP="009E1F21">
      <w:pPr>
        <w:spacing w:line="360" w:lineRule="auto"/>
        <w:jc w:val="both"/>
        <w:rPr>
          <w:color w:val="000000" w:themeColor="text1"/>
        </w:rPr>
      </w:pPr>
      <w:r w:rsidRPr="00AC3E15">
        <w:rPr>
          <w:b/>
          <w:bCs/>
        </w:rPr>
        <w:t>Login</w:t>
      </w:r>
      <w:r>
        <w:t>:</w:t>
      </w:r>
      <w:r w:rsidRPr="00AC3E15">
        <w:rPr>
          <w:b/>
          <w:bCs/>
          <w:color w:val="0000FF"/>
          <w:shd w:val="clear" w:color="auto" w:fill="FFFFFF"/>
        </w:rPr>
        <w:t xml:space="preserve"> </w:t>
      </w:r>
      <w:r w:rsidRPr="007D0E15">
        <w:rPr>
          <w:color w:val="000000" w:themeColor="text1"/>
          <w:shd w:val="clear" w:color="auto" w:fill="FFFFFF"/>
        </w:rPr>
        <w:t>alunoteste</w:t>
      </w:r>
    </w:p>
    <w:p w14:paraId="650AA19F" w14:textId="2D73E559" w:rsidR="00AC3E15" w:rsidRPr="007D0E15" w:rsidRDefault="00AC3E15" w:rsidP="009E1F21">
      <w:pPr>
        <w:spacing w:line="360" w:lineRule="auto"/>
        <w:jc w:val="both"/>
        <w:rPr>
          <w:color w:val="000000" w:themeColor="text1"/>
        </w:rPr>
      </w:pPr>
      <w:r w:rsidRPr="007D0E15">
        <w:rPr>
          <w:b/>
          <w:bCs/>
          <w:color w:val="000000" w:themeColor="text1"/>
        </w:rPr>
        <w:t>Senha:</w:t>
      </w:r>
      <w:r w:rsidRPr="007D0E15">
        <w:rPr>
          <w:color w:val="000000" w:themeColor="text1"/>
        </w:rPr>
        <w:t xml:space="preserve"> </w:t>
      </w:r>
      <w:r w:rsidRPr="007D0E15">
        <w:rPr>
          <w:color w:val="000000" w:themeColor="text1"/>
          <w:shd w:val="clear" w:color="auto" w:fill="FFFFFF"/>
        </w:rPr>
        <w:t>alunoifspsrt1 </w:t>
      </w:r>
    </w:p>
    <w:p w14:paraId="5658E399" w14:textId="77777777" w:rsidR="00BD6970" w:rsidRDefault="00BD6970" w:rsidP="00BD6970">
      <w:pPr>
        <w:spacing w:line="360" w:lineRule="auto"/>
        <w:jc w:val="both"/>
      </w:pPr>
      <w:r>
        <w:rPr>
          <w:b/>
        </w:rPr>
        <w:t>Idioma:</w:t>
      </w:r>
      <w:r>
        <w:t xml:space="preserve"> Português </w:t>
      </w:r>
    </w:p>
    <w:p w14:paraId="2B204D1C" w14:textId="5247285B" w:rsidR="00BD6970" w:rsidRDefault="00BD6970" w:rsidP="00BD6970">
      <w:pPr>
        <w:spacing w:line="360" w:lineRule="auto"/>
        <w:jc w:val="both"/>
      </w:pPr>
      <w:r>
        <w:rPr>
          <w:b/>
        </w:rPr>
        <w:t>Local, Ano:</w:t>
      </w:r>
      <w:r>
        <w:t xml:space="preserve"> Sertãozinho, São Paulo, Brasil, 202</w:t>
      </w:r>
      <w:r w:rsidR="00AC3E15">
        <w:t>2</w:t>
      </w:r>
    </w:p>
    <w:p w14:paraId="113AED90" w14:textId="77777777" w:rsidR="00BD6970" w:rsidRDefault="00BD6970" w:rsidP="0041719B">
      <w:pPr>
        <w:spacing w:after="240" w:line="360" w:lineRule="auto"/>
        <w:jc w:val="both"/>
        <w:rPr>
          <w:b/>
        </w:rPr>
      </w:pPr>
    </w:p>
    <w:p w14:paraId="61D97C97" w14:textId="4A8AE739" w:rsidR="00BD6970" w:rsidRPr="00E8621D" w:rsidRDefault="00EA5A78" w:rsidP="00BD6970">
      <w:pPr>
        <w:spacing w:after="240"/>
        <w:rPr>
          <w:b/>
          <w:bCs/>
        </w:rPr>
      </w:pPr>
      <w:r>
        <w:rPr>
          <w:b/>
          <w:bCs/>
        </w:rPr>
        <w:t>Descrição</w:t>
      </w:r>
      <w:r w:rsidR="00BD6970" w:rsidRPr="00E8621D">
        <w:rPr>
          <w:b/>
          <w:bCs/>
        </w:rPr>
        <w:t xml:space="preserve"> do produto educacional</w:t>
      </w:r>
    </w:p>
    <w:p w14:paraId="58ED2EC9" w14:textId="6ED9F31F" w:rsidR="00EA5A78" w:rsidRDefault="00473577" w:rsidP="00EA5A78">
      <w:pPr>
        <w:spacing w:line="360" w:lineRule="auto"/>
        <w:ind w:firstLine="709"/>
        <w:jc w:val="both"/>
        <w:rPr>
          <w:color w:val="000000"/>
        </w:rPr>
      </w:pPr>
      <w:r>
        <w:t>O produto educacional</w:t>
      </w:r>
      <w:r w:rsidR="00EA5A78" w:rsidRPr="006463BF">
        <w:t xml:space="preserve"> é um curso para formação continuada docente </w:t>
      </w:r>
      <w:r w:rsidR="00EA5A78" w:rsidRPr="006463BF">
        <w:rPr>
          <w:color w:val="000000"/>
        </w:rPr>
        <w:t>voltado, inicialmente, aos professores do Instituto Federal de São Paulo. Pretende-se ter, como recorte do público-alvo, sujeitos que acumulem a função de representantes da ARINTER (</w:t>
      </w:r>
      <w:r w:rsidR="00EA5A78" w:rsidRPr="006463BF">
        <w:t xml:space="preserve">Assessoria </w:t>
      </w:r>
      <w:r w:rsidR="00E229D4">
        <w:t>de</w:t>
      </w:r>
      <w:r w:rsidR="00EA5A78" w:rsidRPr="006463BF">
        <w:t xml:space="preserve"> Relações Internacionais do IFSP</w:t>
      </w:r>
      <w:r w:rsidR="00EA5A78" w:rsidRPr="006463BF">
        <w:rPr>
          <w:color w:val="000000"/>
        </w:rPr>
        <w:t xml:space="preserve">) em seus respectivos </w:t>
      </w:r>
      <w:r w:rsidR="00EA5A78" w:rsidRPr="00474AE3">
        <w:rPr>
          <w:i/>
          <w:iCs/>
          <w:color w:val="000000"/>
        </w:rPr>
        <w:t>campi</w:t>
      </w:r>
      <w:r w:rsidR="00EA5A78" w:rsidRPr="006463BF">
        <w:rPr>
          <w:color w:val="000000"/>
        </w:rPr>
        <w:t xml:space="preserve">, pela sinergia de atuação e possível </w:t>
      </w:r>
      <w:r w:rsidR="00EA5A78">
        <w:rPr>
          <w:color w:val="000000"/>
        </w:rPr>
        <w:t>papel</w:t>
      </w:r>
      <w:r w:rsidR="00EA5A78" w:rsidRPr="006463BF">
        <w:rPr>
          <w:color w:val="000000"/>
        </w:rPr>
        <w:t xml:space="preserve"> desses como multiplicadores de algumas das práticas e iniciativas propostas, buscando influenciar também a construção de discussões para a (re)construção de algumas das </w:t>
      </w:r>
      <w:r w:rsidR="00EA5A78" w:rsidRPr="006463BF">
        <w:rPr>
          <w:color w:val="000000"/>
        </w:rPr>
        <w:lastRenderedPageBreak/>
        <w:t>ferramentas institucionais efetivadoras de políticas públicas</w:t>
      </w:r>
      <w:r w:rsidR="00EA5A78">
        <w:rPr>
          <w:color w:val="000000"/>
        </w:rPr>
        <w:t xml:space="preserve">. </w:t>
      </w:r>
    </w:p>
    <w:p w14:paraId="1CE25BE7" w14:textId="77777777" w:rsidR="00EA5A78" w:rsidRDefault="00EA5A78" w:rsidP="00EA5A78">
      <w:pPr>
        <w:spacing w:after="160" w:line="360" w:lineRule="auto"/>
        <w:ind w:firstLine="709"/>
        <w:jc w:val="both"/>
      </w:pPr>
      <w:r>
        <w:t>O curso proposto é proposto dentro da lógica do</w:t>
      </w:r>
      <w:r w:rsidRPr="006463BF">
        <w:t xml:space="preserve"> MOODLE (Modular Object-Oriented Dynamic Learning Environment, ou seja, Ambiente de Aprendizado Modular Orientado ao Objeto), ambiente virtual de apoio ao ensino presencial e a distância do IFSP, utilizando as ferramentas de apresenta</w:t>
      </w:r>
      <w:r>
        <w:t>ções (visuais e audiovisuais)</w:t>
      </w:r>
      <w:r w:rsidRPr="006463BF">
        <w:t xml:space="preserve">, postagens e fóruns. Os conteúdos serão constituídos de videoaulas, artigos científicos e trechos de livros (compondo literatura básica e complementar), documentários, filmes e outros materiais audiovisuais, bem como discussões sobre o tópico em desenvolvimento. </w:t>
      </w:r>
    </w:p>
    <w:p w14:paraId="32EC6D6F" w14:textId="77777777" w:rsidR="00EA5A78" w:rsidRDefault="00EA5A78" w:rsidP="00EA5A78">
      <w:pPr>
        <w:spacing w:after="160" w:line="360" w:lineRule="auto"/>
        <w:ind w:firstLine="709"/>
        <w:jc w:val="both"/>
      </w:pPr>
      <w:r w:rsidRPr="006463BF">
        <w:t xml:space="preserve">Cada conteúdo será apresentado, ficando à disposição do discente, para ler e interagir, graduando os conceitos até o fechamento, com as atividades avaliativas. Também </w:t>
      </w:r>
      <w:r>
        <w:t>foram</w:t>
      </w:r>
      <w:r w:rsidRPr="006463BF">
        <w:t xml:space="preserve"> previsto</w:t>
      </w:r>
      <w:r>
        <w:t>s</w:t>
      </w:r>
      <w:r w:rsidRPr="006463BF">
        <w:t xml:space="preserve"> encontros virtuais, via videoconferência, entre organizadores e alunos do curso, para debater temas pertinentes ao curso, sanar dúvidas e compartilhar experiências e análises</w:t>
      </w:r>
      <w:r>
        <w:t xml:space="preserve">. </w:t>
      </w:r>
    </w:p>
    <w:p w14:paraId="332EFDDD" w14:textId="198665B9" w:rsidR="00EA5A78" w:rsidRDefault="00EA5A78" w:rsidP="00EA5A78">
      <w:pPr>
        <w:spacing w:after="160" w:line="360" w:lineRule="auto"/>
        <w:ind w:firstLine="709"/>
        <w:jc w:val="both"/>
      </w:pPr>
      <w:r>
        <w:t xml:space="preserve">O curso foi dividido em cinco módulos de conteúdo e um de apresentação (Figura </w:t>
      </w:r>
      <w:r>
        <w:t>1</w:t>
      </w:r>
      <w:r>
        <w:t>), ancorados numa parte expositiva, com o apoio de slides, onde o pesquisador desenvolve os temas pertinentes a cada módulo a fim de auxiliar na compreensão sobre os conceitos tratados e já antecipar alguns dos pontos que serão aprofundados no material de apoio. Os cinco módulos de conteúdo são:</w:t>
      </w:r>
    </w:p>
    <w:p w14:paraId="2CCDC627" w14:textId="77777777" w:rsidR="00EA5A78" w:rsidRDefault="00EA5A78" w:rsidP="00377CC9">
      <w:pPr>
        <w:pStyle w:val="PargrafodaLista"/>
        <w:widowControl/>
        <w:numPr>
          <w:ilvl w:val="0"/>
          <w:numId w:val="3"/>
        </w:numPr>
        <w:spacing w:after="160" w:line="360" w:lineRule="auto"/>
        <w:contextualSpacing/>
        <w:jc w:val="both"/>
      </w:pPr>
      <w:r>
        <w:t>Migração: conceitos introdutórios.</w:t>
      </w:r>
    </w:p>
    <w:p w14:paraId="6D3788DA" w14:textId="77777777" w:rsidR="00EA5A78" w:rsidRDefault="00EA5A78" w:rsidP="00377CC9">
      <w:pPr>
        <w:pStyle w:val="PargrafodaLista"/>
        <w:widowControl/>
        <w:numPr>
          <w:ilvl w:val="0"/>
          <w:numId w:val="3"/>
        </w:numPr>
        <w:spacing w:after="160" w:line="360" w:lineRule="auto"/>
        <w:contextualSpacing/>
        <w:jc w:val="both"/>
      </w:pPr>
      <w:r>
        <w:t>Aspectos jurídicos e institucionais da relação entre migração e educação no Brasil.</w:t>
      </w:r>
    </w:p>
    <w:p w14:paraId="068A065D" w14:textId="77777777" w:rsidR="00EA5A78" w:rsidRDefault="00EA5A78" w:rsidP="00377CC9">
      <w:pPr>
        <w:pStyle w:val="PargrafodaLista"/>
        <w:widowControl/>
        <w:numPr>
          <w:ilvl w:val="0"/>
          <w:numId w:val="3"/>
        </w:numPr>
        <w:spacing w:after="160" w:line="360" w:lineRule="auto"/>
        <w:contextualSpacing/>
        <w:jc w:val="both"/>
      </w:pPr>
      <w:r>
        <w:t>Educação intercultural sob a perspectiva da Educação Profissional e Tecnológica.</w:t>
      </w:r>
    </w:p>
    <w:p w14:paraId="7822D84D" w14:textId="77777777" w:rsidR="00EA5A78" w:rsidRDefault="00EA5A78" w:rsidP="00377CC9">
      <w:pPr>
        <w:pStyle w:val="PargrafodaLista"/>
        <w:widowControl/>
        <w:numPr>
          <w:ilvl w:val="0"/>
          <w:numId w:val="3"/>
        </w:numPr>
        <w:spacing w:after="160" w:line="360" w:lineRule="auto"/>
        <w:contextualSpacing/>
        <w:jc w:val="both"/>
      </w:pPr>
      <w:r>
        <w:t>Internacionalização na educação básica: perspectivas e possibilidades através da educação intercultural.</w:t>
      </w:r>
    </w:p>
    <w:p w14:paraId="6BD0FCDA" w14:textId="77777777" w:rsidR="00EA5A78" w:rsidRPr="000C7C60" w:rsidRDefault="00EA5A78" w:rsidP="00377CC9">
      <w:pPr>
        <w:pStyle w:val="PargrafodaLista"/>
        <w:widowControl/>
        <w:numPr>
          <w:ilvl w:val="0"/>
          <w:numId w:val="3"/>
        </w:numPr>
        <w:spacing w:after="160" w:line="360" w:lineRule="auto"/>
        <w:contextualSpacing/>
        <w:jc w:val="both"/>
      </w:pPr>
      <w:r w:rsidRPr="000C7C60">
        <w:t>Acolhimento e interiorização: o papel dos Institutos Federais.</w:t>
      </w:r>
    </w:p>
    <w:p w14:paraId="4B813334" w14:textId="77777777" w:rsidR="00EA5A78" w:rsidRDefault="00EA5A78" w:rsidP="00EA5A78">
      <w:pPr>
        <w:spacing w:after="160" w:line="360" w:lineRule="auto"/>
        <w:ind w:firstLine="709"/>
        <w:jc w:val="both"/>
      </w:pPr>
      <w:r>
        <w:t xml:space="preserve"> </w:t>
      </w:r>
      <w:r w:rsidRPr="006463BF">
        <w:t>Os alunos serão convidados a assistir as videoaulas e outros trabalhos audiovisuais, ler os textos elencados</w:t>
      </w:r>
      <w:r>
        <w:t xml:space="preserve"> como principais e como complementares</w:t>
      </w:r>
      <w:r w:rsidRPr="006463BF">
        <w:t xml:space="preserve"> e a participar das discussões sobre o assunto</w:t>
      </w:r>
      <w:r>
        <w:t xml:space="preserve">, nos </w:t>
      </w:r>
      <w:r w:rsidRPr="006463BF">
        <w:t xml:space="preserve">encontros virtuais realizados </w:t>
      </w:r>
      <w:r>
        <w:t xml:space="preserve">ao longo </w:t>
      </w:r>
      <w:r w:rsidRPr="006463BF">
        <w:t xml:space="preserve">e ao final do curso. Esse processo irá auxiliar na apreensão dos conceitos fundamentais </w:t>
      </w:r>
      <w:r>
        <w:t>do</w:t>
      </w:r>
      <w:r w:rsidRPr="006463BF">
        <w:t xml:space="preserve"> tema, adquirindo gradativa complexidade e aprofundamento, aproxima</w:t>
      </w:r>
      <w:r>
        <w:t>ndo-se</w:t>
      </w:r>
      <w:r w:rsidRPr="006463BF">
        <w:t xml:space="preserve"> </w:t>
      </w:r>
      <w:r>
        <w:t xml:space="preserve">da </w:t>
      </w:r>
      <w:r w:rsidRPr="006463BF">
        <w:t xml:space="preserve">atuação prática dos profissionais, tanto como docentes quanto como representantes da ARINTER em seus </w:t>
      </w:r>
      <w:r w:rsidRPr="002C5736">
        <w:rPr>
          <w:i/>
          <w:iCs/>
        </w:rPr>
        <w:t>campi</w:t>
      </w:r>
      <w:r>
        <w:t>.</w:t>
      </w:r>
    </w:p>
    <w:p w14:paraId="36961D0B" w14:textId="326AC1A7" w:rsidR="00EA5A78" w:rsidRDefault="00EA5A78" w:rsidP="00EA5A78">
      <w:pPr>
        <w:spacing w:after="160" w:line="360" w:lineRule="auto"/>
        <w:ind w:firstLine="709"/>
        <w:jc w:val="both"/>
      </w:pPr>
    </w:p>
    <w:p w14:paraId="4493EF1D" w14:textId="7A48F2C0" w:rsidR="00377CC9" w:rsidRDefault="00377CC9" w:rsidP="00EA5A78">
      <w:pPr>
        <w:spacing w:after="160" w:line="360" w:lineRule="auto"/>
        <w:ind w:firstLine="709"/>
        <w:jc w:val="both"/>
      </w:pPr>
    </w:p>
    <w:p w14:paraId="5B95B5B8" w14:textId="01B82A03" w:rsidR="00377CC9" w:rsidRDefault="00377CC9" w:rsidP="00EA5A78">
      <w:pPr>
        <w:spacing w:after="160" w:line="360" w:lineRule="auto"/>
        <w:ind w:firstLine="709"/>
        <w:jc w:val="both"/>
      </w:pPr>
    </w:p>
    <w:p w14:paraId="113070E3" w14:textId="77777777" w:rsidR="00E229D4" w:rsidRDefault="00E229D4" w:rsidP="00EA5A78">
      <w:pPr>
        <w:spacing w:after="160" w:line="360" w:lineRule="auto"/>
        <w:ind w:firstLine="709"/>
        <w:jc w:val="both"/>
      </w:pPr>
    </w:p>
    <w:p w14:paraId="37E50FF4" w14:textId="7634E863" w:rsidR="00EA5A78" w:rsidRDefault="00EA5A78" w:rsidP="00EA5A78">
      <w:pPr>
        <w:pStyle w:val="Legenda"/>
        <w:rPr>
          <w:sz w:val="24"/>
          <w:szCs w:val="24"/>
        </w:rPr>
      </w:pPr>
      <w:bookmarkStart w:id="1" w:name="_Toc90913160"/>
      <w:r>
        <w:t xml:space="preserve">Figura </w:t>
      </w:r>
      <w:r w:rsidR="00377CC9">
        <w:t>1</w:t>
      </w:r>
      <w:r>
        <w:t xml:space="preserve"> - </w:t>
      </w:r>
      <w:r w:rsidRPr="00FF4745">
        <w:t>Módulo de Apresentação</w:t>
      </w:r>
      <w:r>
        <w:t xml:space="preserve"> do Curso </w:t>
      </w:r>
      <w:r w:rsidRPr="002C5736">
        <w:t>“Migrações internacionais e educação intercultural – possibilidades e desafios do IFSP”</w:t>
      </w:r>
      <w:bookmarkEnd w:id="1"/>
    </w:p>
    <w:p w14:paraId="69A1DF20" w14:textId="77777777" w:rsidR="00EA5A78" w:rsidRDefault="00EA5A78" w:rsidP="00EA5A78">
      <w:pPr>
        <w:spacing w:after="160" w:line="360" w:lineRule="auto"/>
        <w:jc w:val="center"/>
      </w:pPr>
      <w:r>
        <w:rPr>
          <w:noProof/>
        </w:rPr>
        <w:drawing>
          <wp:inline distT="0" distB="0" distL="0" distR="0" wp14:anchorId="46A07CA2" wp14:editId="15DA3FE0">
            <wp:extent cx="5402580" cy="4055208"/>
            <wp:effectExtent l="0" t="0" r="7620" b="2540"/>
            <wp:docPr id="16" name="Imagem 16"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Interface gráfica do usuário, Aplicativo&#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419628" cy="4068004"/>
                    </a:xfrm>
                    <a:prstGeom prst="rect">
                      <a:avLst/>
                    </a:prstGeom>
                  </pic:spPr>
                </pic:pic>
              </a:graphicData>
            </a:graphic>
          </wp:inline>
        </w:drawing>
      </w:r>
    </w:p>
    <w:p w14:paraId="01F9C684" w14:textId="77777777" w:rsidR="00EA5A78" w:rsidRPr="002C5736" w:rsidRDefault="00EA5A78" w:rsidP="00EA5A78">
      <w:pPr>
        <w:spacing w:after="160" w:line="360" w:lineRule="auto"/>
        <w:ind w:firstLine="709"/>
        <w:jc w:val="both"/>
        <w:rPr>
          <w:sz w:val="20"/>
          <w:szCs w:val="20"/>
        </w:rPr>
      </w:pPr>
      <w:r w:rsidRPr="002C5736">
        <w:rPr>
          <w:sz w:val="20"/>
          <w:szCs w:val="20"/>
        </w:rPr>
        <w:t>Fonte: Elaborado pelo autor</w:t>
      </w:r>
    </w:p>
    <w:p w14:paraId="66415B0A" w14:textId="77777777" w:rsidR="00EA5A78" w:rsidRDefault="00EA5A78" w:rsidP="00EA5A78">
      <w:pPr>
        <w:spacing w:after="160" w:line="360" w:lineRule="auto"/>
        <w:ind w:firstLine="709"/>
        <w:jc w:val="both"/>
      </w:pPr>
    </w:p>
    <w:p w14:paraId="744E8B76" w14:textId="09AFACDC" w:rsidR="00EA5A78" w:rsidRDefault="00EA5A78" w:rsidP="00EA5A78">
      <w:pPr>
        <w:spacing w:after="160" w:line="360" w:lineRule="auto"/>
        <w:ind w:firstLine="709"/>
        <w:jc w:val="both"/>
      </w:pPr>
      <w:r>
        <w:t xml:space="preserve">A ideia de utilizar o vídeo para fazer um conteúdo expositivo se provou mais trabalhosa, mas também bastante adequada as intenções de curso, possibilitando maiores alternativas para explorar os conteúdos aferidos durante as entrevistas realizadas, expressando não apenas o conhecimento adquirido como também alguma das impressões expostas pelos entrevistados, justapondo aos conceitos trabalhos saberes adquiridos pela experiência nos Institutos Federais e com a EPT e seus marcos fundamentais, no trabalho com a população migrante internacional e com as políticas vigentes de internacionalização. O Quadro </w:t>
      </w:r>
      <w:r w:rsidR="00377CC9">
        <w:t>1</w:t>
      </w:r>
      <w:r>
        <w:t xml:space="preserve"> apresenta o conteúdo das videoaulas e o tempo de duração de cada uma delas.</w:t>
      </w:r>
    </w:p>
    <w:p w14:paraId="0449363E" w14:textId="55BC7CA7" w:rsidR="00EA5A78" w:rsidRDefault="00EA5A78" w:rsidP="00EA5A78">
      <w:pPr>
        <w:spacing w:after="160" w:line="360" w:lineRule="auto"/>
        <w:ind w:firstLine="709"/>
        <w:jc w:val="both"/>
      </w:pPr>
    </w:p>
    <w:p w14:paraId="3B06F5F3" w14:textId="1516389B" w:rsidR="00377CC9" w:rsidRDefault="00377CC9" w:rsidP="00EA5A78">
      <w:pPr>
        <w:spacing w:after="160" w:line="360" w:lineRule="auto"/>
        <w:ind w:firstLine="709"/>
        <w:jc w:val="both"/>
      </w:pPr>
    </w:p>
    <w:p w14:paraId="1086572C" w14:textId="7D254F90" w:rsidR="00377CC9" w:rsidRDefault="00377CC9" w:rsidP="00EA5A78">
      <w:pPr>
        <w:spacing w:after="160" w:line="360" w:lineRule="auto"/>
        <w:ind w:firstLine="709"/>
        <w:jc w:val="both"/>
      </w:pPr>
    </w:p>
    <w:p w14:paraId="1B6A5468" w14:textId="77777777" w:rsidR="00377CC9" w:rsidRDefault="00377CC9" w:rsidP="00EA5A78">
      <w:pPr>
        <w:spacing w:after="160" w:line="360" w:lineRule="auto"/>
        <w:ind w:firstLine="709"/>
        <w:jc w:val="both"/>
      </w:pPr>
    </w:p>
    <w:p w14:paraId="07B28C1E" w14:textId="5EF28C13" w:rsidR="00EA5A78" w:rsidRDefault="00EA5A78" w:rsidP="00EA5A78">
      <w:pPr>
        <w:pStyle w:val="Legenda"/>
        <w:rPr>
          <w:sz w:val="24"/>
          <w:szCs w:val="24"/>
        </w:rPr>
      </w:pPr>
      <w:bookmarkStart w:id="2" w:name="_Toc90913202"/>
      <w:r>
        <w:t xml:space="preserve">Quadro </w:t>
      </w:r>
      <w:r w:rsidR="00377CC9">
        <w:t>1</w:t>
      </w:r>
      <w:r>
        <w:t xml:space="preserve">- </w:t>
      </w:r>
      <w:r w:rsidRPr="00B3318E">
        <w:t>Conteúdo expositivo</w:t>
      </w:r>
      <w:r>
        <w:t xml:space="preserve"> do Curso </w:t>
      </w:r>
      <w:r w:rsidRPr="002C5736">
        <w:t>“Migrações internacionais e educação intercultural – possibilidades e desafios do IFSP”</w:t>
      </w:r>
      <w:bookmarkEnd w:id="2"/>
    </w:p>
    <w:tbl>
      <w:tblPr>
        <w:tblStyle w:val="Tabelacomgrade"/>
        <w:tblW w:w="8500" w:type="dxa"/>
        <w:jc w:val="center"/>
        <w:tblInd w:w="0" w:type="dxa"/>
        <w:tblLook w:val="04A0" w:firstRow="1" w:lastRow="0" w:firstColumn="1" w:lastColumn="0" w:noHBand="0" w:noVBand="1"/>
      </w:tblPr>
      <w:tblGrid>
        <w:gridCol w:w="6516"/>
        <w:gridCol w:w="1984"/>
      </w:tblGrid>
      <w:tr w:rsidR="00EA5A78" w:rsidRPr="00840BED" w14:paraId="5F57DC9D" w14:textId="77777777" w:rsidTr="00E229D4">
        <w:trPr>
          <w:jc w:val="center"/>
        </w:trPr>
        <w:tc>
          <w:tcPr>
            <w:tcW w:w="6516" w:type="dxa"/>
            <w:vAlign w:val="center"/>
          </w:tcPr>
          <w:p w14:paraId="67B61916" w14:textId="77777777" w:rsidR="00EA5A78" w:rsidRPr="00840BED" w:rsidRDefault="00EA5A78" w:rsidP="00F134F2">
            <w:pPr>
              <w:spacing w:line="360" w:lineRule="auto"/>
              <w:jc w:val="center"/>
              <w:rPr>
                <w:sz w:val="20"/>
                <w:szCs w:val="20"/>
              </w:rPr>
            </w:pPr>
            <w:r w:rsidRPr="00840BED">
              <w:rPr>
                <w:sz w:val="20"/>
                <w:szCs w:val="20"/>
              </w:rPr>
              <w:t>Módulo</w:t>
            </w:r>
          </w:p>
        </w:tc>
        <w:tc>
          <w:tcPr>
            <w:tcW w:w="1984" w:type="dxa"/>
            <w:vAlign w:val="center"/>
          </w:tcPr>
          <w:p w14:paraId="4FED580D" w14:textId="77777777" w:rsidR="00EA5A78" w:rsidRPr="00840BED" w:rsidRDefault="00EA5A78" w:rsidP="00F134F2">
            <w:pPr>
              <w:spacing w:line="360" w:lineRule="auto"/>
              <w:jc w:val="center"/>
              <w:rPr>
                <w:sz w:val="20"/>
                <w:szCs w:val="20"/>
              </w:rPr>
            </w:pPr>
            <w:r w:rsidRPr="00840BED">
              <w:rPr>
                <w:sz w:val="20"/>
                <w:szCs w:val="20"/>
              </w:rPr>
              <w:t xml:space="preserve">Duração do </w:t>
            </w:r>
            <w:r>
              <w:rPr>
                <w:sz w:val="20"/>
                <w:szCs w:val="20"/>
              </w:rPr>
              <w:t>video</w:t>
            </w:r>
            <w:r w:rsidRPr="00840BED">
              <w:rPr>
                <w:sz w:val="20"/>
                <w:szCs w:val="20"/>
              </w:rPr>
              <w:t>aula</w:t>
            </w:r>
          </w:p>
        </w:tc>
      </w:tr>
      <w:tr w:rsidR="00EA5A78" w:rsidRPr="00840BED" w14:paraId="29D52381" w14:textId="77777777" w:rsidTr="00E229D4">
        <w:trPr>
          <w:jc w:val="center"/>
        </w:trPr>
        <w:tc>
          <w:tcPr>
            <w:tcW w:w="6516" w:type="dxa"/>
            <w:vAlign w:val="center"/>
          </w:tcPr>
          <w:p w14:paraId="48B75078" w14:textId="77777777" w:rsidR="00EA5A78" w:rsidRPr="00840BED" w:rsidRDefault="00EA5A78" w:rsidP="00F134F2">
            <w:pPr>
              <w:spacing w:line="360" w:lineRule="auto"/>
              <w:jc w:val="both"/>
              <w:rPr>
                <w:sz w:val="20"/>
                <w:szCs w:val="20"/>
              </w:rPr>
            </w:pPr>
            <w:r w:rsidRPr="00840BED">
              <w:rPr>
                <w:sz w:val="20"/>
                <w:szCs w:val="20"/>
              </w:rPr>
              <w:t>Apresentação</w:t>
            </w:r>
          </w:p>
        </w:tc>
        <w:tc>
          <w:tcPr>
            <w:tcW w:w="1984" w:type="dxa"/>
            <w:vAlign w:val="center"/>
          </w:tcPr>
          <w:p w14:paraId="3B96F8D7" w14:textId="77777777" w:rsidR="00EA5A78" w:rsidRPr="00840BED" w:rsidRDefault="00EA5A78" w:rsidP="00F134F2">
            <w:pPr>
              <w:spacing w:line="360" w:lineRule="auto"/>
              <w:jc w:val="center"/>
              <w:rPr>
                <w:sz w:val="20"/>
                <w:szCs w:val="20"/>
              </w:rPr>
            </w:pPr>
            <w:r w:rsidRPr="00840BED">
              <w:rPr>
                <w:sz w:val="20"/>
                <w:szCs w:val="20"/>
              </w:rPr>
              <w:t>07min43s</w:t>
            </w:r>
          </w:p>
        </w:tc>
      </w:tr>
      <w:tr w:rsidR="00EA5A78" w:rsidRPr="00840BED" w14:paraId="7EEF2BF6" w14:textId="77777777" w:rsidTr="00E229D4">
        <w:trPr>
          <w:jc w:val="center"/>
        </w:trPr>
        <w:tc>
          <w:tcPr>
            <w:tcW w:w="6516" w:type="dxa"/>
            <w:vAlign w:val="center"/>
          </w:tcPr>
          <w:p w14:paraId="70BFC5B5" w14:textId="77777777" w:rsidR="00EA5A78" w:rsidRPr="00840BED" w:rsidRDefault="00EA5A78" w:rsidP="00F134F2">
            <w:pPr>
              <w:spacing w:line="360" w:lineRule="auto"/>
              <w:jc w:val="both"/>
              <w:rPr>
                <w:sz w:val="20"/>
                <w:szCs w:val="20"/>
              </w:rPr>
            </w:pPr>
            <w:r w:rsidRPr="00840BED">
              <w:rPr>
                <w:sz w:val="20"/>
                <w:szCs w:val="20"/>
              </w:rPr>
              <w:t>Migração: conceitos introdutórios</w:t>
            </w:r>
          </w:p>
        </w:tc>
        <w:tc>
          <w:tcPr>
            <w:tcW w:w="1984" w:type="dxa"/>
            <w:vAlign w:val="center"/>
          </w:tcPr>
          <w:p w14:paraId="0810934A" w14:textId="77777777" w:rsidR="00EA5A78" w:rsidRPr="00840BED" w:rsidRDefault="00EA5A78" w:rsidP="00F134F2">
            <w:pPr>
              <w:spacing w:line="360" w:lineRule="auto"/>
              <w:jc w:val="center"/>
              <w:rPr>
                <w:sz w:val="20"/>
                <w:szCs w:val="20"/>
              </w:rPr>
            </w:pPr>
            <w:r w:rsidRPr="00840BED">
              <w:rPr>
                <w:sz w:val="20"/>
                <w:szCs w:val="20"/>
              </w:rPr>
              <w:t>31min39s</w:t>
            </w:r>
          </w:p>
        </w:tc>
      </w:tr>
      <w:tr w:rsidR="00EA5A78" w:rsidRPr="00840BED" w14:paraId="40CC438A" w14:textId="77777777" w:rsidTr="00E229D4">
        <w:trPr>
          <w:jc w:val="center"/>
        </w:trPr>
        <w:tc>
          <w:tcPr>
            <w:tcW w:w="6516" w:type="dxa"/>
            <w:vAlign w:val="center"/>
          </w:tcPr>
          <w:p w14:paraId="38767168" w14:textId="77777777" w:rsidR="00EA5A78" w:rsidRPr="00840BED" w:rsidRDefault="00EA5A78" w:rsidP="00F134F2">
            <w:pPr>
              <w:spacing w:line="360" w:lineRule="auto"/>
              <w:jc w:val="both"/>
              <w:rPr>
                <w:sz w:val="20"/>
                <w:szCs w:val="20"/>
                <w:lang w:val="pt-BR"/>
              </w:rPr>
            </w:pPr>
            <w:r w:rsidRPr="00840BED">
              <w:rPr>
                <w:sz w:val="20"/>
                <w:szCs w:val="20"/>
                <w:lang w:val="pt-BR"/>
              </w:rPr>
              <w:t>Aspectos jurídicos e institucionais da relação entre migração e educação no Brasil</w:t>
            </w:r>
          </w:p>
        </w:tc>
        <w:tc>
          <w:tcPr>
            <w:tcW w:w="1984" w:type="dxa"/>
            <w:vAlign w:val="center"/>
          </w:tcPr>
          <w:p w14:paraId="32E97222" w14:textId="77777777" w:rsidR="00EA5A78" w:rsidRPr="00840BED" w:rsidRDefault="00EA5A78" w:rsidP="00F134F2">
            <w:pPr>
              <w:spacing w:line="360" w:lineRule="auto"/>
              <w:jc w:val="center"/>
              <w:rPr>
                <w:sz w:val="20"/>
                <w:szCs w:val="20"/>
              </w:rPr>
            </w:pPr>
            <w:r w:rsidRPr="00840BED">
              <w:rPr>
                <w:sz w:val="20"/>
                <w:szCs w:val="20"/>
              </w:rPr>
              <w:t>28min08s</w:t>
            </w:r>
          </w:p>
        </w:tc>
      </w:tr>
      <w:tr w:rsidR="00EA5A78" w:rsidRPr="00840BED" w14:paraId="4D813DD9" w14:textId="77777777" w:rsidTr="00E229D4">
        <w:trPr>
          <w:jc w:val="center"/>
        </w:trPr>
        <w:tc>
          <w:tcPr>
            <w:tcW w:w="6516" w:type="dxa"/>
            <w:vAlign w:val="center"/>
          </w:tcPr>
          <w:p w14:paraId="7747E005" w14:textId="77777777" w:rsidR="00EA5A78" w:rsidRPr="00840BED" w:rsidRDefault="00EA5A78" w:rsidP="00F134F2">
            <w:pPr>
              <w:spacing w:line="360" w:lineRule="auto"/>
              <w:jc w:val="both"/>
              <w:rPr>
                <w:sz w:val="20"/>
                <w:szCs w:val="20"/>
                <w:lang w:val="pt-BR"/>
              </w:rPr>
            </w:pPr>
            <w:r w:rsidRPr="00840BED">
              <w:rPr>
                <w:sz w:val="20"/>
                <w:szCs w:val="20"/>
                <w:lang w:val="pt-BR"/>
              </w:rPr>
              <w:t>Educação intercultural sob a perspectiva da Educação Profissional e Tecnológica</w:t>
            </w:r>
          </w:p>
        </w:tc>
        <w:tc>
          <w:tcPr>
            <w:tcW w:w="1984" w:type="dxa"/>
            <w:vAlign w:val="center"/>
          </w:tcPr>
          <w:p w14:paraId="1B6A0652" w14:textId="77777777" w:rsidR="00EA5A78" w:rsidRPr="00840BED" w:rsidRDefault="00EA5A78" w:rsidP="00F134F2">
            <w:pPr>
              <w:spacing w:line="360" w:lineRule="auto"/>
              <w:jc w:val="center"/>
              <w:rPr>
                <w:sz w:val="20"/>
                <w:szCs w:val="20"/>
              </w:rPr>
            </w:pPr>
            <w:r w:rsidRPr="00840BED">
              <w:rPr>
                <w:sz w:val="20"/>
                <w:szCs w:val="20"/>
              </w:rPr>
              <w:t>55min57s</w:t>
            </w:r>
          </w:p>
        </w:tc>
      </w:tr>
      <w:tr w:rsidR="00EA5A78" w:rsidRPr="00840BED" w14:paraId="4E79E64A" w14:textId="77777777" w:rsidTr="00E229D4">
        <w:trPr>
          <w:jc w:val="center"/>
        </w:trPr>
        <w:tc>
          <w:tcPr>
            <w:tcW w:w="6516" w:type="dxa"/>
            <w:vAlign w:val="center"/>
          </w:tcPr>
          <w:p w14:paraId="722E814D" w14:textId="77777777" w:rsidR="00EA5A78" w:rsidRPr="00840BED" w:rsidRDefault="00EA5A78" w:rsidP="00F134F2">
            <w:pPr>
              <w:spacing w:line="360" w:lineRule="auto"/>
              <w:jc w:val="both"/>
              <w:rPr>
                <w:sz w:val="20"/>
                <w:szCs w:val="20"/>
                <w:lang w:val="pt-BR"/>
              </w:rPr>
            </w:pPr>
            <w:r w:rsidRPr="00840BED">
              <w:rPr>
                <w:sz w:val="20"/>
                <w:szCs w:val="20"/>
                <w:lang w:val="pt-BR"/>
              </w:rPr>
              <w:t>Internacionalização na educação básica: perspectivas e possibilidades através da educação intercultural</w:t>
            </w:r>
          </w:p>
        </w:tc>
        <w:tc>
          <w:tcPr>
            <w:tcW w:w="1984" w:type="dxa"/>
            <w:vAlign w:val="center"/>
          </w:tcPr>
          <w:p w14:paraId="7D234E25" w14:textId="77777777" w:rsidR="00EA5A78" w:rsidRPr="00840BED" w:rsidRDefault="00EA5A78" w:rsidP="00F134F2">
            <w:pPr>
              <w:spacing w:line="360" w:lineRule="auto"/>
              <w:jc w:val="center"/>
              <w:rPr>
                <w:sz w:val="20"/>
                <w:szCs w:val="20"/>
              </w:rPr>
            </w:pPr>
            <w:r w:rsidRPr="00840BED">
              <w:rPr>
                <w:sz w:val="20"/>
                <w:szCs w:val="20"/>
              </w:rPr>
              <w:t>22min02s</w:t>
            </w:r>
          </w:p>
        </w:tc>
      </w:tr>
      <w:tr w:rsidR="00EA5A78" w:rsidRPr="00840BED" w14:paraId="0898624A" w14:textId="77777777" w:rsidTr="00E229D4">
        <w:trPr>
          <w:jc w:val="center"/>
        </w:trPr>
        <w:tc>
          <w:tcPr>
            <w:tcW w:w="6516" w:type="dxa"/>
            <w:vAlign w:val="center"/>
          </w:tcPr>
          <w:p w14:paraId="358480AC" w14:textId="77777777" w:rsidR="00EA5A78" w:rsidRPr="00840BED" w:rsidRDefault="00EA5A78" w:rsidP="00F134F2">
            <w:pPr>
              <w:spacing w:line="360" w:lineRule="auto"/>
              <w:jc w:val="both"/>
              <w:rPr>
                <w:sz w:val="20"/>
                <w:szCs w:val="20"/>
                <w:lang w:val="pt-BR"/>
              </w:rPr>
            </w:pPr>
            <w:r w:rsidRPr="00840BED">
              <w:rPr>
                <w:sz w:val="20"/>
                <w:szCs w:val="20"/>
                <w:lang w:val="pt-BR"/>
              </w:rPr>
              <w:t>Acolhimento e interiorização: o papel dos Institutos Federais</w:t>
            </w:r>
          </w:p>
        </w:tc>
        <w:tc>
          <w:tcPr>
            <w:tcW w:w="1984" w:type="dxa"/>
            <w:vAlign w:val="center"/>
          </w:tcPr>
          <w:p w14:paraId="37490D84" w14:textId="77777777" w:rsidR="00EA5A78" w:rsidRPr="00840BED" w:rsidRDefault="00EA5A78" w:rsidP="00F134F2">
            <w:pPr>
              <w:spacing w:line="360" w:lineRule="auto"/>
              <w:jc w:val="center"/>
              <w:rPr>
                <w:sz w:val="20"/>
                <w:szCs w:val="20"/>
              </w:rPr>
            </w:pPr>
            <w:r w:rsidRPr="00840BED">
              <w:rPr>
                <w:sz w:val="20"/>
                <w:szCs w:val="20"/>
              </w:rPr>
              <w:t>49min59</w:t>
            </w:r>
          </w:p>
        </w:tc>
      </w:tr>
    </w:tbl>
    <w:p w14:paraId="58FF627C" w14:textId="77777777" w:rsidR="00EA5A78" w:rsidRPr="00840BED" w:rsidRDefault="00EA5A78" w:rsidP="00EA5A78">
      <w:pPr>
        <w:spacing w:after="160" w:line="360" w:lineRule="auto"/>
        <w:jc w:val="both"/>
        <w:rPr>
          <w:sz w:val="20"/>
          <w:szCs w:val="20"/>
        </w:rPr>
      </w:pPr>
      <w:r w:rsidRPr="00840BED">
        <w:rPr>
          <w:sz w:val="20"/>
          <w:szCs w:val="20"/>
        </w:rPr>
        <w:t>Fonte: Elaborado pelo autor</w:t>
      </w:r>
    </w:p>
    <w:p w14:paraId="58721253" w14:textId="77777777" w:rsidR="00EA5A78" w:rsidRDefault="00EA5A78" w:rsidP="00EA5A78">
      <w:pPr>
        <w:spacing w:after="160" w:line="360" w:lineRule="auto"/>
        <w:jc w:val="both"/>
      </w:pPr>
      <w:r>
        <w:tab/>
      </w:r>
    </w:p>
    <w:p w14:paraId="2B35EDD8" w14:textId="4EBBD122" w:rsidR="00EA5A78" w:rsidRDefault="00EA5A78" w:rsidP="00EA5A78">
      <w:pPr>
        <w:spacing w:after="160" w:line="360" w:lineRule="auto"/>
        <w:ind w:firstLine="708"/>
        <w:jc w:val="both"/>
      </w:pPr>
      <w:r>
        <w:t xml:space="preserve">A fórmula dos módulos no MOODLE é relativamente simples, e segue a estética e o distribuição apontadas na Figura </w:t>
      </w:r>
      <w:r w:rsidR="00377CC9">
        <w:t>2</w:t>
      </w:r>
      <w:r>
        <w:t xml:space="preserve">, com a videoaula expositiva e o slide para download disponibilizados logo no começo, no alto da página, e abaixo, em sequência, outros conteúdos do eixo principal (em geral vídeos e textos) e os conteúdos complementares, que comportam outros vídeos, sugestões de filmes, sugestões de textos e também de podcast.  </w:t>
      </w:r>
    </w:p>
    <w:p w14:paraId="4EF23C54" w14:textId="77777777" w:rsidR="00EA5A78" w:rsidRDefault="00EA5A78" w:rsidP="00EA5A78">
      <w:pPr>
        <w:spacing w:after="160" w:line="360" w:lineRule="auto"/>
        <w:jc w:val="both"/>
      </w:pPr>
    </w:p>
    <w:p w14:paraId="3E013995" w14:textId="77777777" w:rsidR="00EA5A78" w:rsidRDefault="00EA5A78" w:rsidP="00EA5A78">
      <w:pPr>
        <w:spacing w:after="160" w:line="360" w:lineRule="auto"/>
        <w:jc w:val="both"/>
      </w:pPr>
    </w:p>
    <w:p w14:paraId="500AE584" w14:textId="77777777" w:rsidR="00EA5A78" w:rsidRDefault="00EA5A78" w:rsidP="00EA5A78">
      <w:pPr>
        <w:spacing w:after="160" w:line="360" w:lineRule="auto"/>
        <w:jc w:val="both"/>
      </w:pPr>
    </w:p>
    <w:p w14:paraId="4D13D15E" w14:textId="77777777" w:rsidR="00EA5A78" w:rsidRDefault="00EA5A78" w:rsidP="00EA5A78">
      <w:pPr>
        <w:spacing w:after="160" w:line="360" w:lineRule="auto"/>
        <w:jc w:val="both"/>
      </w:pPr>
    </w:p>
    <w:p w14:paraId="0C53E9E1" w14:textId="77777777" w:rsidR="00EA5A78" w:rsidRDefault="00EA5A78" w:rsidP="00EA5A78">
      <w:pPr>
        <w:spacing w:after="160" w:line="360" w:lineRule="auto"/>
        <w:jc w:val="both"/>
      </w:pPr>
    </w:p>
    <w:p w14:paraId="0A401157" w14:textId="1652E57D" w:rsidR="00EA5A78" w:rsidRDefault="00EA5A78" w:rsidP="00EA5A78">
      <w:pPr>
        <w:spacing w:after="160" w:line="360" w:lineRule="auto"/>
        <w:jc w:val="both"/>
      </w:pPr>
    </w:p>
    <w:p w14:paraId="053AA19D" w14:textId="3556B62A" w:rsidR="00377CC9" w:rsidRDefault="00377CC9" w:rsidP="00EA5A78">
      <w:pPr>
        <w:spacing w:after="160" w:line="360" w:lineRule="auto"/>
        <w:jc w:val="both"/>
      </w:pPr>
    </w:p>
    <w:p w14:paraId="5A973097" w14:textId="752FE7B2" w:rsidR="00377CC9" w:rsidRDefault="00377CC9" w:rsidP="00EA5A78">
      <w:pPr>
        <w:spacing w:after="160" w:line="360" w:lineRule="auto"/>
        <w:jc w:val="both"/>
      </w:pPr>
    </w:p>
    <w:p w14:paraId="49D88582" w14:textId="1286B128" w:rsidR="00377CC9" w:rsidRDefault="00377CC9" w:rsidP="00EA5A78">
      <w:pPr>
        <w:spacing w:after="160" w:line="360" w:lineRule="auto"/>
        <w:jc w:val="both"/>
      </w:pPr>
    </w:p>
    <w:p w14:paraId="5043176B" w14:textId="78AD1FF0" w:rsidR="00EA5A78" w:rsidRDefault="00EA5A78" w:rsidP="00EA5A78">
      <w:pPr>
        <w:pStyle w:val="Legenda"/>
        <w:rPr>
          <w:sz w:val="24"/>
          <w:szCs w:val="24"/>
        </w:rPr>
      </w:pPr>
      <w:bookmarkStart w:id="3" w:name="_Toc90913161"/>
      <w:r>
        <w:lastRenderedPageBreak/>
        <w:t xml:space="preserve">Figura </w:t>
      </w:r>
      <w:r w:rsidR="00377CC9">
        <w:t>2</w:t>
      </w:r>
      <w:r>
        <w:t xml:space="preserve"> - </w:t>
      </w:r>
      <w:r w:rsidRPr="00337004">
        <w:t>Módulo II: Migração, conceitos introdutórios</w:t>
      </w:r>
      <w:r>
        <w:t xml:space="preserve"> do Curso </w:t>
      </w:r>
      <w:r w:rsidRPr="002C5736">
        <w:t>Migrações internacionais e educação intercultural – possibilidades e desafios do IFSP</w:t>
      </w:r>
      <w:bookmarkEnd w:id="3"/>
    </w:p>
    <w:p w14:paraId="38E637B7" w14:textId="77777777" w:rsidR="00EA5A78" w:rsidRDefault="00EA5A78" w:rsidP="00EA5A78">
      <w:pPr>
        <w:spacing w:line="360" w:lineRule="auto"/>
        <w:jc w:val="center"/>
        <w:rPr>
          <w:color w:val="000000"/>
        </w:rPr>
      </w:pPr>
      <w:r>
        <w:rPr>
          <w:noProof/>
          <w:color w:val="000000"/>
        </w:rPr>
        <w:drawing>
          <wp:inline distT="0" distB="0" distL="0" distR="0" wp14:anchorId="70D132DD" wp14:editId="249934DC">
            <wp:extent cx="5200382" cy="7972425"/>
            <wp:effectExtent l="0" t="0" r="635" b="0"/>
            <wp:docPr id="19" name="Imagem 19" descr="Interface gráfica do usuári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Interface gráfica do usuário, Site&#10;&#10;Descrição gerada automaticamente"/>
                    <pic:cNvPicPr/>
                  </pic:nvPicPr>
                  <pic:blipFill rotWithShape="1">
                    <a:blip r:embed="rId9">
                      <a:extLst>
                        <a:ext uri="{28A0092B-C50C-407E-A947-70E740481C1C}">
                          <a14:useLocalDpi xmlns:a14="http://schemas.microsoft.com/office/drawing/2010/main" val="0"/>
                        </a:ext>
                      </a:extLst>
                    </a:blip>
                    <a:srcRect b="2870"/>
                    <a:stretch/>
                  </pic:blipFill>
                  <pic:spPr bwMode="auto">
                    <a:xfrm>
                      <a:off x="0" y="0"/>
                      <a:ext cx="5200650" cy="7972836"/>
                    </a:xfrm>
                    <a:prstGeom prst="rect">
                      <a:avLst/>
                    </a:prstGeom>
                    <a:ln>
                      <a:noFill/>
                    </a:ln>
                    <a:extLst>
                      <a:ext uri="{53640926-AAD7-44D8-BBD7-CCE9431645EC}">
                        <a14:shadowObscured xmlns:a14="http://schemas.microsoft.com/office/drawing/2010/main"/>
                      </a:ext>
                    </a:extLst>
                  </pic:spPr>
                </pic:pic>
              </a:graphicData>
            </a:graphic>
          </wp:inline>
        </w:drawing>
      </w:r>
    </w:p>
    <w:p w14:paraId="72F44B22" w14:textId="77777777" w:rsidR="00EA5A78" w:rsidRPr="00BA1859" w:rsidRDefault="00EA5A78" w:rsidP="00EA5A78">
      <w:pPr>
        <w:rPr>
          <w:color w:val="000000"/>
          <w:sz w:val="20"/>
          <w:szCs w:val="20"/>
        </w:rPr>
      </w:pPr>
      <w:r w:rsidRPr="00BA1859">
        <w:rPr>
          <w:color w:val="000000"/>
          <w:sz w:val="20"/>
          <w:szCs w:val="20"/>
        </w:rPr>
        <w:t>Fonte: Elaborado pelo autor</w:t>
      </w:r>
    </w:p>
    <w:p w14:paraId="20F34785" w14:textId="77777777" w:rsidR="00EA5A78" w:rsidRDefault="00EA5A78" w:rsidP="00EA5A78">
      <w:pPr>
        <w:spacing w:line="360" w:lineRule="auto"/>
        <w:ind w:firstLine="708"/>
        <w:jc w:val="both"/>
        <w:rPr>
          <w:color w:val="000000"/>
        </w:rPr>
      </w:pPr>
    </w:p>
    <w:p w14:paraId="300B9002" w14:textId="24AF3C31" w:rsidR="00EA5A78" w:rsidRDefault="00EA5A78" w:rsidP="00EA5A78">
      <w:pPr>
        <w:spacing w:line="360" w:lineRule="auto"/>
        <w:ind w:firstLine="708"/>
        <w:jc w:val="both"/>
        <w:rPr>
          <w:color w:val="000000"/>
        </w:rPr>
      </w:pPr>
      <w:r>
        <w:rPr>
          <w:color w:val="000000"/>
        </w:rPr>
        <w:lastRenderedPageBreak/>
        <w:t xml:space="preserve">Não propomos uma periodicidade específica para que o aluno realize o curso, no entanto sugerimos que, idealmente, seja cumprido ao menos um dos módulos por semana, recomendando vivamente o conteúdo extra pra desenvolver ainda mais os conceitos propostos. As discussões propostas, pela falta de oportunidade de efetuar o curso, não foram realizadas, mas estavam programadas para ocorrer após o módulo 3 e após o módulo 6, essa última com intenção de fazer um fechamento do curso e que, incialmente, iria também avaliá-lo. </w:t>
      </w:r>
    </w:p>
    <w:p w14:paraId="40EB2C24" w14:textId="4DD556D0" w:rsidR="00BD6970" w:rsidRDefault="00BD6970" w:rsidP="00EA5A78">
      <w:pPr>
        <w:spacing w:line="360" w:lineRule="auto"/>
        <w:ind w:firstLine="708"/>
        <w:jc w:val="both"/>
        <w:rPr>
          <w:b/>
        </w:rPr>
      </w:pPr>
    </w:p>
    <w:sectPr w:rsidR="00BD6970" w:rsidSect="00BD6970">
      <w:headerReference w:type="default" r:id="rId10"/>
      <w:pgSz w:w="11907" w:h="16840"/>
      <w:pgMar w:top="1701"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CE63" w14:textId="77777777" w:rsidR="00FA2F23" w:rsidRDefault="00FA2F23">
      <w:r>
        <w:separator/>
      </w:r>
    </w:p>
  </w:endnote>
  <w:endnote w:type="continuationSeparator" w:id="0">
    <w:p w14:paraId="14D9F2F8" w14:textId="77777777" w:rsidR="00FA2F23" w:rsidRDefault="00FA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C546" w14:textId="77777777" w:rsidR="00FA2F23" w:rsidRDefault="00FA2F23">
      <w:r>
        <w:separator/>
      </w:r>
    </w:p>
  </w:footnote>
  <w:footnote w:type="continuationSeparator" w:id="0">
    <w:p w14:paraId="6F0CD738" w14:textId="77777777" w:rsidR="00FA2F23" w:rsidRDefault="00FA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872" w14:textId="77777777" w:rsidR="00AD4FFB" w:rsidRDefault="00FE24E0">
    <w:pPr>
      <w:pBdr>
        <w:top w:val="nil"/>
        <w:left w:val="nil"/>
        <w:bottom w:val="nil"/>
        <w:right w:val="nil"/>
        <w:between w:val="nil"/>
      </w:pBdr>
      <w:tabs>
        <w:tab w:val="center" w:pos="4252"/>
        <w:tab w:val="right" w:pos="8504"/>
      </w:tabs>
      <w:jc w:val="right"/>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14:paraId="10F5486A" w14:textId="77777777" w:rsidR="00AD4FFB" w:rsidRDefault="00FA2F23">
    <w:pPr>
      <w:pBdr>
        <w:top w:val="nil"/>
        <w:left w:val="nil"/>
        <w:bottom w:val="nil"/>
        <w:right w:val="nil"/>
        <w:between w:val="nil"/>
      </w:pBdr>
      <w:tabs>
        <w:tab w:val="center" w:pos="4252"/>
        <w:tab w:val="right" w:pos="8504"/>
      </w:tabs>
      <w:jc w:val="right"/>
    </w:pPr>
  </w:p>
  <w:p w14:paraId="2CE7CCAC" w14:textId="77777777" w:rsidR="00AD4FFB" w:rsidRDefault="00FA2F2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7C08"/>
    <w:multiLevelType w:val="hybridMultilevel"/>
    <w:tmpl w:val="7A1E60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94B361D"/>
    <w:multiLevelType w:val="hybridMultilevel"/>
    <w:tmpl w:val="48148BF8"/>
    <w:lvl w:ilvl="0" w:tplc="0416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4A1E2CB5"/>
    <w:multiLevelType w:val="hybridMultilevel"/>
    <w:tmpl w:val="A078A5B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70"/>
    <w:rsid w:val="000046B6"/>
    <w:rsid w:val="000700C4"/>
    <w:rsid w:val="000B3672"/>
    <w:rsid w:val="001D692E"/>
    <w:rsid w:val="002360E9"/>
    <w:rsid w:val="00286D9C"/>
    <w:rsid w:val="00377CC9"/>
    <w:rsid w:val="0041719B"/>
    <w:rsid w:val="00445948"/>
    <w:rsid w:val="00471E77"/>
    <w:rsid w:val="00473577"/>
    <w:rsid w:val="004F67F0"/>
    <w:rsid w:val="005733CE"/>
    <w:rsid w:val="005A3A0D"/>
    <w:rsid w:val="005C2DFB"/>
    <w:rsid w:val="00645957"/>
    <w:rsid w:val="00661AF5"/>
    <w:rsid w:val="00685B0E"/>
    <w:rsid w:val="006A4D00"/>
    <w:rsid w:val="00740812"/>
    <w:rsid w:val="00765ACE"/>
    <w:rsid w:val="007C4A9D"/>
    <w:rsid w:val="007D0E15"/>
    <w:rsid w:val="007F31AB"/>
    <w:rsid w:val="008522A3"/>
    <w:rsid w:val="00872B21"/>
    <w:rsid w:val="0089793F"/>
    <w:rsid w:val="008C2883"/>
    <w:rsid w:val="00933CE0"/>
    <w:rsid w:val="009421E3"/>
    <w:rsid w:val="00960CB4"/>
    <w:rsid w:val="009E1F21"/>
    <w:rsid w:val="00A12D2C"/>
    <w:rsid w:val="00A41AE2"/>
    <w:rsid w:val="00AC3E15"/>
    <w:rsid w:val="00AE66B0"/>
    <w:rsid w:val="00B26BA7"/>
    <w:rsid w:val="00BD6970"/>
    <w:rsid w:val="00BE6D16"/>
    <w:rsid w:val="00C26E36"/>
    <w:rsid w:val="00CC6AE2"/>
    <w:rsid w:val="00E229D4"/>
    <w:rsid w:val="00EA5A78"/>
    <w:rsid w:val="00EB1D64"/>
    <w:rsid w:val="00F71AB9"/>
    <w:rsid w:val="00FA2F23"/>
    <w:rsid w:val="00FE2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CAFA"/>
  <w15:chartTrackingRefBased/>
  <w15:docId w15:val="{577E0417-03B3-4B7A-B94B-79318B76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70"/>
    <w:pPr>
      <w:widowControl w:val="0"/>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BD6970"/>
    <w:pPr>
      <w:keepNext/>
      <w:keepLines/>
      <w:spacing w:before="480" w:line="480" w:lineRule="auto"/>
      <w:outlineLvl w:val="0"/>
    </w:pPr>
    <w:rPr>
      <w:rFonts w:eastAsiaTheme="majorEastAsia" w:cstheme="majorBidi"/>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6970"/>
    <w:rPr>
      <w:rFonts w:ascii="Times New Roman" w:eastAsiaTheme="majorEastAsia" w:hAnsi="Times New Roman" w:cstheme="majorBidi"/>
      <w:b/>
      <w:bCs/>
      <w:sz w:val="24"/>
      <w:szCs w:val="28"/>
      <w:lang w:val="pt-PT" w:eastAsia="pt-BR"/>
    </w:rPr>
  </w:style>
  <w:style w:type="paragraph" w:styleId="PargrafodaLista">
    <w:name w:val="List Paragraph"/>
    <w:basedOn w:val="Normal"/>
    <w:uiPriority w:val="34"/>
    <w:qFormat/>
    <w:rsid w:val="00BD6970"/>
    <w:pPr>
      <w:ind w:left="293" w:hanging="360"/>
    </w:pPr>
  </w:style>
  <w:style w:type="character" w:styleId="Hyperlink">
    <w:name w:val="Hyperlink"/>
    <w:basedOn w:val="Fontepargpadro"/>
    <w:uiPriority w:val="99"/>
    <w:unhideWhenUsed/>
    <w:rsid w:val="00BD6970"/>
    <w:rPr>
      <w:color w:val="0563C1" w:themeColor="hyperlink"/>
      <w:u w:val="single"/>
    </w:rPr>
  </w:style>
  <w:style w:type="paragraph" w:styleId="Corpodetexto">
    <w:name w:val="Body Text"/>
    <w:basedOn w:val="Normal"/>
    <w:link w:val="CorpodetextoChar"/>
    <w:rsid w:val="00AE66B0"/>
    <w:pPr>
      <w:widowControl/>
      <w:suppressAutoHyphens/>
      <w:spacing w:after="140" w:line="288" w:lineRule="auto"/>
    </w:pPr>
    <w:rPr>
      <w:lang w:val="pt-BR" w:eastAsia="zh-CN"/>
    </w:rPr>
  </w:style>
  <w:style w:type="character" w:customStyle="1" w:styleId="CorpodetextoChar">
    <w:name w:val="Corpo de texto Char"/>
    <w:basedOn w:val="Fontepargpadro"/>
    <w:link w:val="Corpodetexto"/>
    <w:rsid w:val="00AE66B0"/>
    <w:rPr>
      <w:rFonts w:ascii="Times New Roman" w:eastAsia="Times New Roman" w:hAnsi="Times New Roman" w:cs="Times New Roman"/>
      <w:sz w:val="24"/>
      <w:szCs w:val="24"/>
      <w:lang w:eastAsia="zh-CN"/>
    </w:rPr>
  </w:style>
  <w:style w:type="character" w:styleId="MenoPendente">
    <w:name w:val="Unresolved Mention"/>
    <w:basedOn w:val="Fontepargpadro"/>
    <w:uiPriority w:val="99"/>
    <w:semiHidden/>
    <w:unhideWhenUsed/>
    <w:rsid w:val="00765ACE"/>
    <w:rPr>
      <w:color w:val="605E5C"/>
      <w:shd w:val="clear" w:color="auto" w:fill="E1DFDD"/>
    </w:rPr>
  </w:style>
  <w:style w:type="paragraph" w:styleId="Textodenotaderodap">
    <w:name w:val="footnote text"/>
    <w:basedOn w:val="Normal"/>
    <w:link w:val="TextodenotaderodapChar"/>
    <w:uiPriority w:val="99"/>
    <w:semiHidden/>
    <w:unhideWhenUsed/>
    <w:rsid w:val="00EA5A78"/>
    <w:pPr>
      <w:widowControl/>
    </w:pPr>
    <w:rPr>
      <w:rFonts w:ascii="Calibri" w:eastAsia="Calibri" w:hAnsi="Calibri"/>
      <w:sz w:val="20"/>
      <w:szCs w:val="20"/>
      <w:lang w:val="pt-BR" w:eastAsia="en-US"/>
    </w:rPr>
  </w:style>
  <w:style w:type="character" w:customStyle="1" w:styleId="TextodenotaderodapChar">
    <w:name w:val="Texto de nota de rodapé Char"/>
    <w:basedOn w:val="Fontepargpadro"/>
    <w:link w:val="Textodenotaderodap"/>
    <w:uiPriority w:val="99"/>
    <w:semiHidden/>
    <w:rsid w:val="00EA5A78"/>
    <w:rPr>
      <w:rFonts w:ascii="Calibri" w:eastAsia="Calibri" w:hAnsi="Calibri" w:cs="Times New Roman"/>
      <w:sz w:val="20"/>
      <w:szCs w:val="20"/>
    </w:rPr>
  </w:style>
  <w:style w:type="character" w:styleId="Refdenotaderodap">
    <w:name w:val="footnote reference"/>
    <w:basedOn w:val="Fontepargpadro"/>
    <w:uiPriority w:val="99"/>
    <w:semiHidden/>
    <w:unhideWhenUsed/>
    <w:rsid w:val="00EA5A78"/>
    <w:rPr>
      <w:vertAlign w:val="superscript"/>
    </w:rPr>
  </w:style>
  <w:style w:type="paragraph" w:styleId="Legenda">
    <w:name w:val="caption"/>
    <w:basedOn w:val="Normal"/>
    <w:next w:val="Normal"/>
    <w:link w:val="LegendaChar"/>
    <w:unhideWhenUsed/>
    <w:qFormat/>
    <w:rsid w:val="00EA5A78"/>
    <w:pPr>
      <w:autoSpaceDE w:val="0"/>
      <w:autoSpaceDN w:val="0"/>
      <w:spacing w:after="200"/>
      <w:jc w:val="both"/>
    </w:pPr>
    <w:rPr>
      <w:rFonts w:eastAsia="Arial" w:cs="Arial"/>
      <w:iCs/>
      <w:color w:val="000000" w:themeColor="text1"/>
      <w:sz w:val="20"/>
      <w:szCs w:val="18"/>
      <w:lang w:val="pt-BR" w:bidi="pt-BR"/>
    </w:rPr>
  </w:style>
  <w:style w:type="table" w:styleId="Tabelacomgrade">
    <w:name w:val="Table Grid"/>
    <w:basedOn w:val="Tabelanormal"/>
    <w:uiPriority w:val="39"/>
    <w:rsid w:val="00EA5A78"/>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Char">
    <w:name w:val="Legenda Char"/>
    <w:basedOn w:val="Fontepargpadro"/>
    <w:link w:val="Legenda"/>
    <w:rsid w:val="00EA5A78"/>
    <w:rPr>
      <w:rFonts w:ascii="Times New Roman" w:eastAsia="Arial" w:hAnsi="Times New Roman" w:cs="Arial"/>
      <w:iCs/>
      <w:color w:val="000000" w:themeColor="text1"/>
      <w:sz w:val="20"/>
      <w:szCs w:val="18"/>
      <w:lang w:eastAsia="pt-BR" w:bidi="pt-BR"/>
    </w:rPr>
  </w:style>
  <w:style w:type="paragraph" w:styleId="Cabealho">
    <w:name w:val="header"/>
    <w:basedOn w:val="Normal"/>
    <w:link w:val="CabealhoChar"/>
    <w:uiPriority w:val="99"/>
    <w:unhideWhenUsed/>
    <w:rsid w:val="002360E9"/>
    <w:pPr>
      <w:tabs>
        <w:tab w:val="center" w:pos="4252"/>
        <w:tab w:val="right" w:pos="8504"/>
      </w:tabs>
    </w:pPr>
  </w:style>
  <w:style w:type="character" w:customStyle="1" w:styleId="CabealhoChar">
    <w:name w:val="Cabeçalho Char"/>
    <w:basedOn w:val="Fontepargpadro"/>
    <w:link w:val="Cabealho"/>
    <w:uiPriority w:val="99"/>
    <w:rsid w:val="002360E9"/>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unhideWhenUsed/>
    <w:rsid w:val="002360E9"/>
    <w:pPr>
      <w:tabs>
        <w:tab w:val="center" w:pos="4252"/>
        <w:tab w:val="right" w:pos="8504"/>
      </w:tabs>
    </w:pPr>
  </w:style>
  <w:style w:type="character" w:customStyle="1" w:styleId="RodapChar">
    <w:name w:val="Rodapé Char"/>
    <w:basedOn w:val="Fontepargpadro"/>
    <w:link w:val="Rodap"/>
    <w:uiPriority w:val="99"/>
    <w:rsid w:val="002360E9"/>
    <w:rPr>
      <w:rFonts w:ascii="Times New Roman" w:eastAsia="Times New Roman" w:hAnsi="Times New Roman" w:cs="Times New Roman"/>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ead.ti.srt.ifsp.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1062</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Vieira</dc:creator>
  <cp:keywords/>
  <dc:description/>
  <cp:lastModifiedBy>Amanda Vieira</cp:lastModifiedBy>
  <cp:revision>35</cp:revision>
  <dcterms:created xsi:type="dcterms:W3CDTF">2021-11-21T22:42:00Z</dcterms:created>
  <dcterms:modified xsi:type="dcterms:W3CDTF">2022-03-24T18:43:00Z</dcterms:modified>
</cp:coreProperties>
</file>