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55" w:rsidRPr="005E0255" w:rsidRDefault="005E0255">
      <w:pPr>
        <w:rPr>
          <w:rFonts w:ascii="Times New Roman" w:hAnsi="Times New Roman" w:cs="Times New Roman"/>
        </w:rPr>
      </w:pPr>
    </w:p>
    <w:p w:rsidR="005E0255" w:rsidRDefault="005E0255" w:rsidP="005E0255">
      <w:pPr>
        <w:pStyle w:val="Ttulo1"/>
        <w:ind w:firstLine="0"/>
        <w:jc w:val="center"/>
        <w:rPr>
          <w:color w:val="auto"/>
          <w:sz w:val="28"/>
          <w:szCs w:val="28"/>
        </w:rPr>
      </w:pPr>
      <w:r w:rsidRPr="00690311">
        <w:rPr>
          <w:color w:val="auto"/>
          <w:sz w:val="28"/>
          <w:szCs w:val="28"/>
        </w:rPr>
        <w:t>PLANO DE MELHORIAS PARA A QUALIFICAÇÃO DO CADASTRAMENTO INDIVIDUAL E DOMICILIAR NO DS VARGEM DAS FLORES</w:t>
      </w:r>
    </w:p>
    <w:p w:rsidR="00267B39" w:rsidRDefault="00267B39" w:rsidP="005E0255">
      <w:pPr>
        <w:pStyle w:val="Ttulo1"/>
        <w:ind w:firstLine="0"/>
        <w:jc w:val="center"/>
        <w:rPr>
          <w:color w:val="auto"/>
          <w:sz w:val="28"/>
          <w:szCs w:val="28"/>
        </w:rPr>
      </w:pPr>
    </w:p>
    <w:p w:rsidR="00267B39" w:rsidRDefault="00267B39" w:rsidP="005E0255">
      <w:pPr>
        <w:pStyle w:val="Ttulo1"/>
        <w:ind w:firstLine="0"/>
        <w:jc w:val="center"/>
        <w:rPr>
          <w:color w:val="auto"/>
          <w:sz w:val="28"/>
          <w:szCs w:val="28"/>
        </w:rPr>
      </w:pPr>
    </w:p>
    <w:p w:rsidR="00267B39" w:rsidRPr="00690311" w:rsidRDefault="00267B39" w:rsidP="00267B39">
      <w:pPr>
        <w:pStyle w:val="Ttulo1"/>
        <w:ind w:firstLine="0"/>
        <w:jc w:val="center"/>
        <w:rPr>
          <w:color w:val="auto"/>
          <w:sz w:val="28"/>
          <w:szCs w:val="28"/>
        </w:rPr>
      </w:pPr>
      <w:r w:rsidRPr="00267B39">
        <w:rPr>
          <w:color w:val="auto"/>
          <w:sz w:val="28"/>
          <w:szCs w:val="28"/>
        </w:rPr>
        <w:drawing>
          <wp:inline distT="0" distB="0" distL="0" distR="0">
            <wp:extent cx="5575935" cy="3138170"/>
            <wp:effectExtent l="19050" t="0" r="5715" b="0"/>
            <wp:docPr id="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8645" name="Imagem 1504486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255" w:rsidRPr="005E0255" w:rsidRDefault="005E0255" w:rsidP="005E0255">
      <w:pPr>
        <w:rPr>
          <w:rFonts w:ascii="Times New Roman" w:hAnsi="Times New Roman" w:cs="Times New Roman"/>
          <w:b/>
          <w:bCs/>
          <w:szCs w:val="24"/>
        </w:rPr>
      </w:pPr>
    </w:p>
    <w:p w:rsidR="005E0255" w:rsidRPr="005E0255" w:rsidRDefault="005E0255" w:rsidP="005E0255">
      <w:pPr>
        <w:rPr>
          <w:rFonts w:ascii="Times New Roman" w:hAnsi="Times New Roman" w:cs="Times New Roman"/>
          <w:szCs w:val="24"/>
        </w:rPr>
      </w:pPr>
      <w:r w:rsidRPr="005E0255">
        <w:rPr>
          <w:rFonts w:ascii="Times New Roman" w:hAnsi="Times New Roman" w:cs="Times New Roman"/>
          <w:b/>
          <w:bCs/>
          <w:szCs w:val="24"/>
        </w:rPr>
        <w:t>APRESENTAÇÃO E METODOLOGIA DE CONSTRUÇÃO</w:t>
      </w:r>
    </w:p>
    <w:p w:rsidR="005E0255" w:rsidRPr="005E0255" w:rsidRDefault="005E0255" w:rsidP="005E0255">
      <w:pPr>
        <w:rPr>
          <w:rFonts w:ascii="Times New Roman" w:hAnsi="Times New Roman" w:cs="Times New Roman"/>
          <w:szCs w:val="24"/>
        </w:rPr>
      </w:pPr>
      <w:r w:rsidRPr="005E0255">
        <w:rPr>
          <w:rFonts w:ascii="Times New Roman" w:hAnsi="Times New Roman" w:cs="Times New Roman"/>
          <w:szCs w:val="24"/>
        </w:rPr>
        <w:tab/>
        <w:t>Elaborado como Produto Técnico-Tecnológico da dissertação de Mestrado Profissional em Enfermagem Assistencial da Universidade Federal Fluminense, este documento tem como finalidade apoiar a qualificação do processo de cadastramento domiciliar e individual pelas Equipes de Saúde da Família (</w:t>
      </w:r>
      <w:proofErr w:type="spellStart"/>
      <w:proofErr w:type="gramStart"/>
      <w:r w:rsidRPr="005E0255">
        <w:rPr>
          <w:rFonts w:ascii="Times New Roman" w:hAnsi="Times New Roman" w:cs="Times New Roman"/>
        </w:rPr>
        <w:t>eSF</w:t>
      </w:r>
      <w:proofErr w:type="spellEnd"/>
      <w:proofErr w:type="gramEnd"/>
      <w:r w:rsidRPr="005E0255">
        <w:rPr>
          <w:rFonts w:ascii="Times New Roman" w:hAnsi="Times New Roman" w:cs="Times New Roman"/>
          <w:szCs w:val="24"/>
        </w:rPr>
        <w:t xml:space="preserve">) no Distrito Sanitário (DS) Vargem das Flores. Para isso, sistematiza, de forma organizada e passível de </w:t>
      </w:r>
      <w:proofErr w:type="spellStart"/>
      <w:r w:rsidRPr="005E0255">
        <w:rPr>
          <w:rFonts w:ascii="Times New Roman" w:hAnsi="Times New Roman" w:cs="Times New Roman"/>
          <w:szCs w:val="24"/>
        </w:rPr>
        <w:t>pactuação</w:t>
      </w:r>
      <w:proofErr w:type="spellEnd"/>
      <w:r w:rsidRPr="005E0255">
        <w:rPr>
          <w:rFonts w:ascii="Times New Roman" w:hAnsi="Times New Roman" w:cs="Times New Roman"/>
          <w:szCs w:val="24"/>
        </w:rPr>
        <w:t xml:space="preserve">, um conjunto de ações voltadas ao enfrentamento dos principais entraves identificados no território, considerando as necessidades operacionais das </w:t>
      </w:r>
      <w:proofErr w:type="spellStart"/>
      <w:proofErr w:type="gramStart"/>
      <w:r w:rsidRPr="005E0255">
        <w:rPr>
          <w:rFonts w:ascii="Times New Roman" w:hAnsi="Times New Roman" w:cs="Times New Roman"/>
        </w:rPr>
        <w:t>eSF</w:t>
      </w:r>
      <w:proofErr w:type="spellEnd"/>
      <w:proofErr w:type="gramEnd"/>
      <w:r w:rsidRPr="005E0255">
        <w:rPr>
          <w:rFonts w:ascii="Times New Roman" w:hAnsi="Times New Roman" w:cs="Times New Roman"/>
          <w:szCs w:val="24"/>
        </w:rPr>
        <w:t>, as características locais do processo de trabalho e as possibilidades de intervenção nos níveis municipal, distrital e local.</w:t>
      </w:r>
    </w:p>
    <w:p w:rsidR="005E0255" w:rsidRPr="005E0255" w:rsidRDefault="005E0255" w:rsidP="005E0255">
      <w:pPr>
        <w:rPr>
          <w:rFonts w:ascii="Times New Roman" w:hAnsi="Times New Roman" w:cs="Times New Roman"/>
          <w:szCs w:val="24"/>
        </w:rPr>
      </w:pPr>
      <w:r w:rsidRPr="005E0255">
        <w:rPr>
          <w:rFonts w:ascii="Times New Roman" w:hAnsi="Times New Roman" w:cs="Times New Roman"/>
          <w:szCs w:val="24"/>
        </w:rPr>
        <w:tab/>
        <w:t xml:space="preserve">Trata-se de uma construção participativa, cujas ações foram formuladas a partir do trabalho direto com as </w:t>
      </w:r>
      <w:proofErr w:type="spellStart"/>
      <w:proofErr w:type="gramStart"/>
      <w:r w:rsidRPr="005E0255">
        <w:rPr>
          <w:rFonts w:ascii="Times New Roman" w:hAnsi="Times New Roman" w:cs="Times New Roman"/>
        </w:rPr>
        <w:t>eSF</w:t>
      </w:r>
      <w:proofErr w:type="spellEnd"/>
      <w:proofErr w:type="gramEnd"/>
      <w:r w:rsidRPr="005E0255">
        <w:rPr>
          <w:rFonts w:ascii="Times New Roman" w:hAnsi="Times New Roman" w:cs="Times New Roman"/>
          <w:szCs w:val="24"/>
        </w:rPr>
        <w:t xml:space="preserve"> ao longo de duas oficinas. Na primeira, realizada em dezembro de 2025, utilizou-se a análise SWOT, ferramenta que confronta forças e fraquezas internas com oportunidades e ameaças externas. Essa etapa reuniu 14 enfermeiros e 57 Agentes Comunitários de Saúde (ACS) em três encontros, realizados na UBS Nova Contagem, na Casa de Apoio de Nova Contagem e na UBS Darcy Ribeiro. Na segunda oficina, realizada entre março e abril de 2026, o </w:t>
      </w:r>
      <w:r w:rsidRPr="005E0255">
        <w:rPr>
          <w:rFonts w:ascii="Times New Roman" w:hAnsi="Times New Roman" w:cs="Times New Roman"/>
          <w:szCs w:val="24"/>
        </w:rPr>
        <w:lastRenderedPageBreak/>
        <w:t xml:space="preserve">percurso pelos dez equipamentos do distrito combinou três instrumentos: o Diagrama de </w:t>
      </w:r>
      <w:proofErr w:type="spellStart"/>
      <w:r w:rsidRPr="005E0255">
        <w:rPr>
          <w:rFonts w:ascii="Times New Roman" w:hAnsi="Times New Roman" w:cs="Times New Roman"/>
          <w:szCs w:val="24"/>
        </w:rPr>
        <w:t>Ishikawa</w:t>
      </w:r>
      <w:proofErr w:type="spellEnd"/>
      <w:r w:rsidRPr="005E0255">
        <w:rPr>
          <w:rFonts w:ascii="Times New Roman" w:hAnsi="Times New Roman" w:cs="Times New Roman"/>
          <w:szCs w:val="24"/>
        </w:rPr>
        <w:t xml:space="preserve">, utilizado para organizar as causas do problema em seis eixos e identificar os nós críticos; a matriz GUT, empregada para pontuar cada problema segundo Gravidade, Urgência e Tendência, com atribuição de notas de 1 a </w:t>
      </w:r>
      <w:proofErr w:type="gramStart"/>
      <w:r w:rsidRPr="005E0255">
        <w:rPr>
          <w:rFonts w:ascii="Times New Roman" w:hAnsi="Times New Roman" w:cs="Times New Roman"/>
          <w:szCs w:val="24"/>
        </w:rPr>
        <w:t>5</w:t>
      </w:r>
      <w:proofErr w:type="gramEnd"/>
      <w:r w:rsidRPr="005E0255">
        <w:rPr>
          <w:rFonts w:ascii="Times New Roman" w:hAnsi="Times New Roman" w:cs="Times New Roman"/>
          <w:szCs w:val="24"/>
        </w:rPr>
        <w:t xml:space="preserve"> para cada critério e multiplicação dos escores, resultando em pontuações de 1 a 125 por problema em cada UBS e, quando somadas nas dez unidades, em pontuação máxima de 1.250; e a matriz BASICO, aplicada para avaliar as ações propostas segundo os critérios de benefício, alcance, satisfação interna, investimento, cliente e operação, favorecendo a validação das alternativas consideradas mais viáveis.</w:t>
      </w:r>
    </w:p>
    <w:p w:rsidR="005E0255" w:rsidRPr="005E0255" w:rsidRDefault="005E0255" w:rsidP="005E0255">
      <w:pPr>
        <w:rPr>
          <w:rFonts w:ascii="Times New Roman" w:hAnsi="Times New Roman" w:cs="Times New Roman"/>
          <w:szCs w:val="24"/>
        </w:rPr>
      </w:pPr>
      <w:r w:rsidRPr="005E0255">
        <w:rPr>
          <w:rFonts w:ascii="Times New Roman" w:hAnsi="Times New Roman" w:cs="Times New Roman"/>
          <w:szCs w:val="24"/>
        </w:rPr>
        <w:tab/>
        <w:t xml:space="preserve">A proposta articula duas fontes de evidência complementares. De um lado, considera o diagnóstico situacional local, construído a partir de instrumento aplicado a enfermeiros e ACS, da análise dos sistemas de informação em uso e da análise temática das respostas abertas, cujos achados foram sintetizados e confirmados por processamento no software </w:t>
      </w:r>
      <w:proofErr w:type="spellStart"/>
      <w:proofErr w:type="gramStart"/>
      <w:r w:rsidRPr="005E0255">
        <w:rPr>
          <w:rFonts w:ascii="Times New Roman" w:hAnsi="Times New Roman" w:cs="Times New Roman"/>
          <w:szCs w:val="24"/>
        </w:rPr>
        <w:t>IRaMuTeQ</w:t>
      </w:r>
      <w:proofErr w:type="spellEnd"/>
      <w:proofErr w:type="gramEnd"/>
      <w:r w:rsidRPr="005E0255">
        <w:rPr>
          <w:rFonts w:ascii="Times New Roman" w:hAnsi="Times New Roman" w:cs="Times New Roman"/>
          <w:szCs w:val="24"/>
        </w:rPr>
        <w:t xml:space="preserve">. De outro, incorpora os achados de uma revisão de escopo conduzida segundo o </w:t>
      </w:r>
      <w:proofErr w:type="spellStart"/>
      <w:r w:rsidRPr="005E0255">
        <w:rPr>
          <w:rFonts w:ascii="Times New Roman" w:hAnsi="Times New Roman" w:cs="Times New Roman"/>
          <w:szCs w:val="24"/>
        </w:rPr>
        <w:t>PRISMA-ScR</w:t>
      </w:r>
      <w:proofErr w:type="spellEnd"/>
      <w:r w:rsidRPr="005E0255">
        <w:rPr>
          <w:rFonts w:ascii="Times New Roman" w:hAnsi="Times New Roman" w:cs="Times New Roman"/>
          <w:szCs w:val="24"/>
        </w:rPr>
        <w:t xml:space="preserve">, que reuniu 21 estudos publicados entre 2009 e 2025, em sete países, e identificou três modalidades de cadastro: digital, 52,4%; híbrida, 42,9%; e </w:t>
      </w:r>
      <w:proofErr w:type="gramStart"/>
      <w:r w:rsidRPr="005E0255">
        <w:rPr>
          <w:rFonts w:ascii="Times New Roman" w:hAnsi="Times New Roman" w:cs="Times New Roman"/>
          <w:szCs w:val="24"/>
        </w:rPr>
        <w:t>analógica, 4,8</w:t>
      </w:r>
      <w:proofErr w:type="gramEnd"/>
      <w:r w:rsidRPr="005E0255">
        <w:rPr>
          <w:rFonts w:ascii="Times New Roman" w:hAnsi="Times New Roman" w:cs="Times New Roman"/>
          <w:szCs w:val="24"/>
        </w:rPr>
        <w:t>%. A revisão também evidenciou o predomínio de barreiras tecnológicas e organizacionais e apontou, como principal facilitador, o vínculo do ACS com a comunidade.</w:t>
      </w:r>
    </w:p>
    <w:p w:rsidR="005E0255" w:rsidRPr="005E0255" w:rsidRDefault="005E0255" w:rsidP="005E0255">
      <w:pPr>
        <w:rPr>
          <w:rFonts w:ascii="Times New Roman" w:hAnsi="Times New Roman" w:cs="Times New Roman"/>
          <w:szCs w:val="24"/>
        </w:rPr>
      </w:pPr>
      <w:r w:rsidRPr="005E0255">
        <w:rPr>
          <w:rFonts w:ascii="Times New Roman" w:hAnsi="Times New Roman" w:cs="Times New Roman"/>
          <w:szCs w:val="24"/>
        </w:rPr>
        <w:tab/>
        <w:t xml:space="preserve">As ações estão organizadas em seis eixos, correspondentes aos ramos do Diagrama de </w:t>
      </w:r>
      <w:proofErr w:type="spellStart"/>
      <w:r w:rsidRPr="005E0255">
        <w:rPr>
          <w:rFonts w:ascii="Times New Roman" w:hAnsi="Times New Roman" w:cs="Times New Roman"/>
          <w:szCs w:val="24"/>
        </w:rPr>
        <w:t>Ishikawa</w:t>
      </w:r>
      <w:proofErr w:type="spellEnd"/>
      <w:r w:rsidRPr="005E0255">
        <w:rPr>
          <w:rFonts w:ascii="Times New Roman" w:hAnsi="Times New Roman" w:cs="Times New Roman"/>
          <w:szCs w:val="24"/>
        </w:rPr>
        <w:t xml:space="preserve">. Em cada eixo, a matriz apresenta uma linha por ação, subdividida segundo os níveis de gestão responsáveis por sua execução: municipal, distrital e local. Cada ação é vinculada ao nó crítico que a originou e à respectiva pontuação na matriz GUT, bem como a um indicador de monitoramento, a uma meta e a um prazo. Os valores entre parênteses na coluna do nó crítico correspondem à pontuação obtida na matriz GUT, seja do próprio nó crítico, seja de nó diretamente relacionado. </w:t>
      </w:r>
    </w:p>
    <w:p w:rsidR="005E0255" w:rsidRPr="005E0255" w:rsidRDefault="005E0255" w:rsidP="005E0255">
      <w:pPr>
        <w:rPr>
          <w:rFonts w:ascii="Times New Roman" w:hAnsi="Times New Roman" w:cs="Times New Roman"/>
          <w:szCs w:val="24"/>
        </w:rPr>
      </w:pPr>
      <w:r w:rsidRPr="005E0255">
        <w:rPr>
          <w:rFonts w:ascii="Times New Roman" w:hAnsi="Times New Roman" w:cs="Times New Roman"/>
          <w:szCs w:val="24"/>
        </w:rPr>
        <w:tab/>
        <w:t xml:space="preserve">Os prazos seguem horizontes de referência usuais em planejamento: curto prazo, até </w:t>
      </w:r>
      <w:proofErr w:type="gramStart"/>
      <w:r w:rsidRPr="005E0255">
        <w:rPr>
          <w:rFonts w:ascii="Times New Roman" w:hAnsi="Times New Roman" w:cs="Times New Roman"/>
          <w:szCs w:val="24"/>
        </w:rPr>
        <w:t>3</w:t>
      </w:r>
      <w:proofErr w:type="gramEnd"/>
      <w:r w:rsidRPr="005E0255">
        <w:rPr>
          <w:rFonts w:ascii="Times New Roman" w:hAnsi="Times New Roman" w:cs="Times New Roman"/>
          <w:szCs w:val="24"/>
        </w:rPr>
        <w:t xml:space="preserve"> meses; médio prazo, de 3 a 6 meses; e longo prazo, de 6 a 12 meses. Essa organização permite escalonar as ações conforme sua urgência, complexidade e governabilidade. Os indicadores, as metas e os prazos foram propostos a partir da natureza de cada ação e das prioridades apontadas pela matriz GUT, constituindo uma referência técnica inicial, a ser revisada, ajustada e pactuada com a gestão no momento da implantação do Plano de Melhorias.</w:t>
      </w:r>
    </w:p>
    <w:p w:rsidR="005E0255" w:rsidRPr="005E0255" w:rsidRDefault="005E0255" w:rsidP="005E0255">
      <w:pPr>
        <w:rPr>
          <w:rFonts w:ascii="Times New Roman" w:hAnsi="Times New Roman" w:cs="Times New Roman"/>
          <w:szCs w:val="24"/>
        </w:rPr>
      </w:pPr>
    </w:p>
    <w:p w:rsidR="005E0255" w:rsidRPr="005E0255" w:rsidRDefault="005E0255" w:rsidP="005E0255">
      <w:pPr>
        <w:rPr>
          <w:rFonts w:ascii="Times New Roman" w:hAnsi="Times New Roman" w:cs="Times New Roman"/>
          <w:b/>
          <w:bCs/>
          <w:szCs w:val="24"/>
        </w:rPr>
      </w:pPr>
      <w:r w:rsidRPr="005E0255">
        <w:rPr>
          <w:rFonts w:ascii="Times New Roman" w:hAnsi="Times New Roman" w:cs="Times New Roman"/>
          <w:b/>
          <w:bCs/>
          <w:szCs w:val="24"/>
        </w:rPr>
        <w:t>ÍNDICE</w:t>
      </w:r>
    </w:p>
    <w:p w:rsidR="005E0255" w:rsidRPr="005E0255" w:rsidRDefault="005E0255" w:rsidP="005E0255">
      <w:pPr>
        <w:pStyle w:val="PargrafodaLista"/>
        <w:numPr>
          <w:ilvl w:val="0"/>
          <w:numId w:val="1"/>
        </w:numPr>
        <w:ind w:firstLine="0"/>
        <w:jc w:val="left"/>
        <w:rPr>
          <w:color w:val="auto"/>
          <w:szCs w:val="24"/>
        </w:rPr>
      </w:pPr>
      <w:r w:rsidRPr="005E0255">
        <w:rPr>
          <w:color w:val="auto"/>
          <w:szCs w:val="24"/>
        </w:rPr>
        <w:t>EIXO 1: UBS/Território abrangência do ACS</w:t>
      </w:r>
    </w:p>
    <w:p w:rsidR="005E0255" w:rsidRPr="005E0255" w:rsidRDefault="005E0255" w:rsidP="005E0255">
      <w:pPr>
        <w:pStyle w:val="PargrafodaLista"/>
        <w:numPr>
          <w:ilvl w:val="0"/>
          <w:numId w:val="1"/>
        </w:numPr>
        <w:ind w:firstLine="0"/>
        <w:jc w:val="left"/>
        <w:rPr>
          <w:color w:val="auto"/>
          <w:szCs w:val="24"/>
        </w:rPr>
      </w:pPr>
      <w:r w:rsidRPr="005E0255">
        <w:rPr>
          <w:color w:val="auto"/>
          <w:szCs w:val="24"/>
        </w:rPr>
        <w:t>EIXO 2: Recurso Humanos: Enfermeiros/ACS</w:t>
      </w:r>
    </w:p>
    <w:p w:rsidR="005E0255" w:rsidRPr="005E0255" w:rsidRDefault="005E0255" w:rsidP="005E0255">
      <w:pPr>
        <w:pStyle w:val="PargrafodaLista"/>
        <w:numPr>
          <w:ilvl w:val="0"/>
          <w:numId w:val="1"/>
        </w:numPr>
        <w:ind w:firstLine="0"/>
        <w:jc w:val="left"/>
        <w:rPr>
          <w:color w:val="auto"/>
          <w:szCs w:val="24"/>
        </w:rPr>
      </w:pPr>
      <w:r w:rsidRPr="005E0255">
        <w:rPr>
          <w:color w:val="auto"/>
          <w:szCs w:val="24"/>
        </w:rPr>
        <w:t>EIXO 3: Sistemas de Informação e Tecnologia</w:t>
      </w:r>
    </w:p>
    <w:p w:rsidR="005E0255" w:rsidRPr="005E0255" w:rsidRDefault="005E0255" w:rsidP="005E0255">
      <w:pPr>
        <w:pStyle w:val="PargrafodaLista"/>
        <w:numPr>
          <w:ilvl w:val="0"/>
          <w:numId w:val="1"/>
        </w:numPr>
        <w:ind w:firstLine="0"/>
        <w:jc w:val="left"/>
        <w:rPr>
          <w:color w:val="auto"/>
          <w:szCs w:val="24"/>
        </w:rPr>
      </w:pPr>
      <w:r w:rsidRPr="005E0255">
        <w:rPr>
          <w:color w:val="auto"/>
          <w:szCs w:val="24"/>
        </w:rPr>
        <w:t>EIXO 4: Gestão da Informação em Saúde</w:t>
      </w:r>
    </w:p>
    <w:p w:rsidR="005E0255" w:rsidRPr="005E0255" w:rsidRDefault="005E0255" w:rsidP="005E0255">
      <w:pPr>
        <w:pStyle w:val="PargrafodaLista"/>
        <w:numPr>
          <w:ilvl w:val="0"/>
          <w:numId w:val="1"/>
        </w:numPr>
        <w:ind w:firstLine="0"/>
        <w:jc w:val="left"/>
        <w:rPr>
          <w:color w:val="auto"/>
          <w:szCs w:val="24"/>
        </w:rPr>
      </w:pPr>
      <w:r w:rsidRPr="005E0255">
        <w:rPr>
          <w:color w:val="auto"/>
          <w:szCs w:val="24"/>
        </w:rPr>
        <w:t>EIXO 5: Infraestrutura e Recursos Materiais</w:t>
      </w:r>
    </w:p>
    <w:p w:rsidR="005E0255" w:rsidRDefault="005E0255" w:rsidP="005E0255">
      <w:pPr>
        <w:pStyle w:val="PargrafodaLista"/>
        <w:numPr>
          <w:ilvl w:val="0"/>
          <w:numId w:val="1"/>
        </w:numPr>
        <w:ind w:firstLine="0"/>
        <w:jc w:val="left"/>
        <w:rPr>
          <w:color w:val="auto"/>
          <w:szCs w:val="24"/>
        </w:rPr>
      </w:pPr>
      <w:r w:rsidRPr="005E0255">
        <w:rPr>
          <w:color w:val="auto"/>
          <w:szCs w:val="24"/>
        </w:rPr>
        <w:t>EIXO 6: Organização do Processo de trabalho</w:t>
      </w:r>
    </w:p>
    <w:p w:rsidR="00267B39" w:rsidRPr="005E0255" w:rsidRDefault="00267B39" w:rsidP="00267B39">
      <w:pPr>
        <w:pStyle w:val="PargrafodaLista"/>
        <w:numPr>
          <w:ilvl w:val="0"/>
          <w:numId w:val="1"/>
        </w:numPr>
        <w:ind w:firstLine="0"/>
        <w:jc w:val="left"/>
        <w:rPr>
          <w:color w:val="auto"/>
          <w:szCs w:val="24"/>
        </w:rPr>
      </w:pPr>
      <w:r w:rsidRPr="005E0255">
        <w:rPr>
          <w:color w:val="auto"/>
          <w:szCs w:val="24"/>
        </w:rPr>
        <w:t>CONSIDERAÇÕES FINAIS E EXPECTATIVAS</w:t>
      </w:r>
    </w:p>
    <w:p w:rsidR="00267B39" w:rsidRPr="00267B39" w:rsidRDefault="00267B39" w:rsidP="00267B39">
      <w:pPr>
        <w:ind w:left="720"/>
        <w:rPr>
          <w:szCs w:val="24"/>
        </w:rPr>
      </w:pPr>
    </w:p>
    <w:p w:rsidR="005E0255" w:rsidRPr="005E0255" w:rsidRDefault="005E0255" w:rsidP="005E0255">
      <w:pPr>
        <w:pBdr>
          <w:bottom w:val="single" w:sz="12" w:space="4" w:color="000000"/>
        </w:pBdr>
        <w:rPr>
          <w:rFonts w:ascii="Times New Roman" w:hAnsi="Times New Roman" w:cs="Times New Roman"/>
          <w:szCs w:val="24"/>
        </w:rPr>
      </w:pPr>
      <w:r w:rsidRPr="005E0255">
        <w:rPr>
          <w:rFonts w:ascii="Times New Roman" w:hAnsi="Times New Roman" w:cs="Times New Roman"/>
          <w:b/>
          <w:bCs/>
          <w:szCs w:val="24"/>
        </w:rPr>
        <w:t>EIXO 1: UBS/TERRITÓRIO ABRANGÊNCIA DO ACS</w:t>
      </w:r>
    </w:p>
    <w:p w:rsidR="005E0255" w:rsidRPr="005E0255" w:rsidRDefault="005E0255" w:rsidP="005E0255">
      <w:pPr>
        <w:rPr>
          <w:rFonts w:ascii="Times New Roman" w:hAnsi="Times New Roman" w:cs="Times New Roman"/>
          <w:szCs w:val="24"/>
        </w:rPr>
      </w:pPr>
      <w:r w:rsidRPr="005E0255">
        <w:rPr>
          <w:rFonts w:ascii="Times New Roman" w:hAnsi="Times New Roman" w:cs="Times New Roman"/>
          <w:szCs w:val="24"/>
        </w:rPr>
        <w:t xml:space="preserve">No cotidiano das </w:t>
      </w:r>
      <w:proofErr w:type="spellStart"/>
      <w:proofErr w:type="gramStart"/>
      <w:r w:rsidRPr="005E0255">
        <w:rPr>
          <w:rFonts w:ascii="Times New Roman" w:hAnsi="Times New Roman" w:cs="Times New Roman"/>
          <w:szCs w:val="24"/>
        </w:rPr>
        <w:t>eSF</w:t>
      </w:r>
      <w:proofErr w:type="spellEnd"/>
      <w:proofErr w:type="gramEnd"/>
      <w:r w:rsidRPr="005E0255">
        <w:rPr>
          <w:rFonts w:ascii="Times New Roman" w:hAnsi="Times New Roman" w:cs="Times New Roman"/>
          <w:szCs w:val="24"/>
        </w:rPr>
        <w:t xml:space="preserve">, o cadastramento depende do reconhecimento da </w:t>
      </w:r>
      <w:proofErr w:type="spellStart"/>
      <w:r w:rsidRPr="005E0255">
        <w:rPr>
          <w:rFonts w:ascii="Times New Roman" w:hAnsi="Times New Roman" w:cs="Times New Roman"/>
          <w:szCs w:val="24"/>
        </w:rPr>
        <w:t>microárea</w:t>
      </w:r>
      <w:proofErr w:type="spellEnd"/>
      <w:r w:rsidRPr="005E0255">
        <w:rPr>
          <w:rFonts w:ascii="Times New Roman" w:hAnsi="Times New Roman" w:cs="Times New Roman"/>
          <w:szCs w:val="24"/>
        </w:rPr>
        <w:t>, do acesso às famílias e da continuidade do acompanhamento pelo ACS. Essa proximidade com a comunidade favorece a entrada nas residências e a atualização das informações cadastrais. A literatura reforça essa compreensão, ao apontar o vínculo territorial como principal facilitador desse processo, em um contexto marcado pelo predomínio de barreiras organizacionais. Esse mesmo vínculo apareceu como a força mais citada pelas equipes na análise SWOT (</w:t>
      </w:r>
      <w:proofErr w:type="gramStart"/>
      <w:r w:rsidRPr="005E0255">
        <w:rPr>
          <w:rFonts w:ascii="Times New Roman" w:hAnsi="Times New Roman" w:cs="Times New Roman"/>
          <w:szCs w:val="24"/>
        </w:rPr>
        <w:t>6</w:t>
      </w:r>
      <w:proofErr w:type="gramEnd"/>
      <w:r w:rsidRPr="005E0255">
        <w:rPr>
          <w:rFonts w:ascii="Times New Roman" w:hAnsi="Times New Roman" w:cs="Times New Roman"/>
          <w:szCs w:val="24"/>
        </w:rPr>
        <w:t xml:space="preserve"> menções) e, organizado como um dos ramos do Diagrama de </w:t>
      </w:r>
      <w:proofErr w:type="spellStart"/>
      <w:r w:rsidRPr="005E0255">
        <w:rPr>
          <w:rFonts w:ascii="Times New Roman" w:hAnsi="Times New Roman" w:cs="Times New Roman"/>
          <w:szCs w:val="24"/>
        </w:rPr>
        <w:t>Ishikawa</w:t>
      </w:r>
      <w:proofErr w:type="spellEnd"/>
      <w:r w:rsidRPr="005E0255">
        <w:rPr>
          <w:rFonts w:ascii="Times New Roman" w:hAnsi="Times New Roman" w:cs="Times New Roman"/>
          <w:szCs w:val="24"/>
        </w:rPr>
        <w:t xml:space="preserve">, o território agrupou também fraquezas como a ausência de moradores na visita e a distância das áreas rurais. Nas respostas abertas, esse enraizamento reapareceu na recorrência de visita, domiciliar e território, que a árvore de similitude reuniu no ramo da prática de campo dos ACS. No distrito, os entraves de maior peso foram </w:t>
      </w:r>
      <w:proofErr w:type="gramStart"/>
      <w:r w:rsidRPr="005E0255">
        <w:rPr>
          <w:rFonts w:ascii="Times New Roman" w:hAnsi="Times New Roman" w:cs="Times New Roman"/>
          <w:szCs w:val="24"/>
        </w:rPr>
        <w:t>a</w:t>
      </w:r>
      <w:proofErr w:type="gramEnd"/>
      <w:r w:rsidRPr="005E0255">
        <w:rPr>
          <w:rFonts w:ascii="Times New Roman" w:hAnsi="Times New Roman" w:cs="Times New Roman"/>
          <w:szCs w:val="24"/>
        </w:rPr>
        <w:t xml:space="preserve"> realização da atividade em ambiente externo, sob exposição ao sol, com 550 pontos na matriz GUT, a presença de população flutuante em áreas de aluguel, com 468 pontos, e a existência de registros desatualizados, com 313 pontos. As ações propostas respondem a esses nós críticos ao buscar adequar o trabalho às condições de cada localidade, considerando a organização da área </w:t>
      </w:r>
      <w:proofErr w:type="spellStart"/>
      <w:r w:rsidRPr="005E0255">
        <w:rPr>
          <w:rFonts w:ascii="Times New Roman" w:hAnsi="Times New Roman" w:cs="Times New Roman"/>
          <w:szCs w:val="24"/>
        </w:rPr>
        <w:t>adscrita</w:t>
      </w:r>
      <w:proofErr w:type="spellEnd"/>
      <w:r w:rsidRPr="005E0255">
        <w:rPr>
          <w:rFonts w:ascii="Times New Roman" w:hAnsi="Times New Roman" w:cs="Times New Roman"/>
          <w:szCs w:val="24"/>
        </w:rPr>
        <w:t xml:space="preserve"> e a dinâmica de permanência e circulação dos moradores.</w:t>
      </w:r>
    </w:p>
    <w:p w:rsidR="005E0255" w:rsidRPr="005E0255" w:rsidRDefault="005E0255" w:rsidP="005E0255">
      <w:pPr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818"/>
        <w:gridCol w:w="2005"/>
        <w:gridCol w:w="1572"/>
        <w:gridCol w:w="1614"/>
        <w:gridCol w:w="792"/>
      </w:tblGrid>
      <w:tr w:rsidR="005E0255" w:rsidRPr="005E0255" w:rsidTr="00FD5643">
        <w:trPr>
          <w:tblHeader/>
        </w:trPr>
        <w:tc>
          <w:tcPr>
            <w:tcW w:w="1601" w:type="pct"/>
            <w:shd w:val="clear" w:color="auto" w:fill="BFBFBF" w:themeFill="background1" w:themeFillShade="BF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1139" w:type="pct"/>
            <w:shd w:val="clear" w:color="auto" w:fill="BFBFBF" w:themeFill="background1" w:themeFillShade="BF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Nó crítico (GUT)</w:t>
            </w:r>
          </w:p>
        </w:tc>
        <w:tc>
          <w:tcPr>
            <w:tcW w:w="893" w:type="pct"/>
            <w:shd w:val="clear" w:color="auto" w:fill="BFBFBF" w:themeFill="background1" w:themeFillShade="BF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Indicador </w:t>
            </w:r>
          </w:p>
        </w:tc>
        <w:tc>
          <w:tcPr>
            <w:tcW w:w="917" w:type="pct"/>
            <w:shd w:val="clear" w:color="auto" w:fill="BFBFBF" w:themeFill="background1" w:themeFillShade="BF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450" w:type="pct"/>
            <w:shd w:val="clear" w:color="auto" w:fill="BFBFBF" w:themeFill="background1" w:themeFillShade="BF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Prazo</w:t>
            </w:r>
          </w:p>
        </w:tc>
      </w:tr>
      <w:tr w:rsidR="005E0255" w:rsidRPr="005E0255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GESTÃO MUNICIPAL: Secretaria Municipal de Saúde - Contagem-MG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Avaliar possibilidade com RH e assessoria jurídica do município quanto ao trabalho do ACS em </w:t>
            </w:r>
            <w:proofErr w:type="gram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(um) sábado por mês para cadastramento de cidadãos trabalhadores ausentes no domicílio no horário habitual dos ACS.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Ausência de moradores na visita (276)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Realização de mutirões de cadastramento aos sábados nas áreas com demanda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Realizar mutirões de cadastramento aos sábados conforme a demanda das áreas com trabalhadores ausentes.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Avaliar junto à SMS a disponibilização de seguro ou mecanismo de rastreamento dos dispositivos (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tablet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Medo de levar o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tablet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por roubo (301)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% de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tablets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com seguro ou rastreamento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100% dos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tablets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com seguro ou rastreamento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Pactuar políticas públicas em territórios limítrofes municipais e </w:t>
            </w:r>
            <w:proofErr w:type="gram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intra-municipais</w:t>
            </w:r>
            <w:proofErr w:type="gram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para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adscrição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Áreas limítrofes / ruas sem CEP (232)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Número de acordos de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adscrição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pactuados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Adscrição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definida nos limites dos municípios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Longo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Atualizar o mapeamento territorial, se possível utilizando ferramenta de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geolocalização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Cadastros desatualizados (313)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% de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microáreas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remapeadas</w:t>
            </w:r>
            <w:proofErr w:type="spellEnd"/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100% das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microáreas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remapeadas</w:t>
            </w:r>
            <w:proofErr w:type="spellEnd"/>
          </w:p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Longo</w:t>
            </w:r>
          </w:p>
        </w:tc>
      </w:tr>
      <w:tr w:rsidR="005E0255" w:rsidRPr="005E0255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GESTÃO DISTRITAL: DS Saúde Vargem das Flores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Mutirão de cadastramento em finais de semana para residências fechadas durante a semana.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Ausência de moradores / população flutuante (468)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Número de mutirões realizados e de cadastros feitos em residências antes fechadas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Pelo menos </w:t>
            </w:r>
            <w:proofErr w:type="gram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mutirão por UBS a cada semestre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Viabilizar transporte para áreas distantes para visitas domiciliares dos ACS.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Grande distância entre domicílios (282)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Transporte disponível para visitas domiciliares nas áreas distantes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Transporte garantido às UBS com área rural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</w:tr>
      <w:tr w:rsidR="005E0255" w:rsidRPr="005E0255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GESTÃO LOCAL: Gerente da Unidade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Mapear áreas de difícil acesso.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Dificuldade de acesso/barreiras (244)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% de áreas de difícil acesso mapeadas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100% das áreas de difícil acesso mapeadas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Curto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Definir pontos de apoio comunitários (escolas, igrejas, associações).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Difícil acesso / distância (244)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Número de pontos de apoio definidos por território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Pelo menos </w:t>
            </w:r>
            <w:proofErr w:type="gram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ponto de apoio por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microárea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crítica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Curto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Visitas programadas em dias específicos para áreas críticas.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Cadastros desatualizados (313)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Cumprimento do cronograma de visitas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Cobrir 100% das áreas críticas com visitas programadas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Curto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Implantar planilha de solicitações de novos cadastros online em todos os computadores das UBS.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Cadastros desatualizados (313)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Planilha em uso nos computadores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Planilha em uso em 100% das UBS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Curto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Cadastro oportuno na UBS (usuários trabalhadores).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Ausência de moradores (276)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Número de cadastros realizados na própria UBS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Fluxo implantado em 100% das UBS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Curto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Reforçar o uso de protetor solar, bonés/chapéus pelo ACS, além de sensibilizar a população.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Cadastro em ambiente externo/sol (550)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% de ACS com proteção solar (</w:t>
            </w:r>
            <w:proofErr w:type="gram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protetor, boné ou chapéu</w:t>
            </w:r>
            <w:proofErr w:type="gram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100% dos ACS com proteção solar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Curto</w:t>
            </w:r>
          </w:p>
        </w:tc>
      </w:tr>
      <w:tr w:rsidR="005E0255" w:rsidRPr="005E0255" w:rsidTr="00FD5643">
        <w:tc>
          <w:tcPr>
            <w:tcW w:w="1601" w:type="pct"/>
          </w:tcPr>
          <w:p w:rsidR="005E0255" w:rsidRPr="005E0255" w:rsidRDefault="005E0255" w:rsidP="00FD564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Estratégias de busca ativa </w:t>
            </w:r>
            <w:proofErr w:type="spellStart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frequente</w:t>
            </w:r>
            <w:proofErr w:type="spellEnd"/>
            <w:r w:rsidRPr="005E0255">
              <w:rPr>
                <w:rFonts w:ascii="Times New Roman" w:hAnsi="Times New Roman" w:cs="Times New Roman"/>
                <w:sz w:val="20"/>
                <w:szCs w:val="20"/>
              </w:rPr>
              <w:t xml:space="preserve"> em áreas com alta rotatividade.</w:t>
            </w:r>
          </w:p>
        </w:tc>
        <w:tc>
          <w:tcPr>
            <w:tcW w:w="1139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População flutuante (468)</w:t>
            </w:r>
          </w:p>
        </w:tc>
        <w:tc>
          <w:tcPr>
            <w:tcW w:w="893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Realização de busca ativa mensal nas áreas de alta rotatividade</w:t>
            </w:r>
          </w:p>
        </w:tc>
        <w:tc>
          <w:tcPr>
            <w:tcW w:w="917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Busca ativa realizada mensalmente</w:t>
            </w:r>
          </w:p>
        </w:tc>
        <w:tc>
          <w:tcPr>
            <w:tcW w:w="450" w:type="pct"/>
          </w:tcPr>
          <w:p w:rsidR="005E0255" w:rsidRPr="005E0255" w:rsidRDefault="005E0255" w:rsidP="00FD56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255">
              <w:rPr>
                <w:rFonts w:ascii="Times New Roman" w:hAnsi="Times New Roman" w:cs="Times New Roman"/>
                <w:sz w:val="20"/>
                <w:szCs w:val="20"/>
              </w:rPr>
              <w:t>Médio</w:t>
            </w:r>
          </w:p>
        </w:tc>
      </w:tr>
    </w:tbl>
    <w:p w:rsidR="00836D65" w:rsidRPr="005E0255" w:rsidRDefault="00836D65" w:rsidP="005E0255">
      <w:pPr>
        <w:pBdr>
          <w:bottom w:val="single" w:sz="12" w:space="4" w:color="000000"/>
        </w:pBdr>
        <w:rPr>
          <w:rFonts w:ascii="Times New Roman" w:hAnsi="Times New Roman" w:cs="Times New Roman"/>
          <w:b/>
          <w:bCs/>
          <w:szCs w:val="24"/>
        </w:rPr>
        <w:sectPr w:rsidR="00836D65" w:rsidRPr="005E0255" w:rsidSect="00310586">
          <w:pgSz w:w="11900" w:h="16840"/>
          <w:pgMar w:top="1701" w:right="1418" w:bottom="1701" w:left="1701" w:header="1134" w:footer="181" w:gutter="0"/>
          <w:cols w:space="720"/>
          <w:docGrid w:linePitch="326"/>
        </w:sectPr>
      </w:pPr>
    </w:p>
    <w:p w:rsidR="00836D65" w:rsidRPr="003376FF" w:rsidRDefault="00836D65" w:rsidP="00836D65">
      <w:pPr>
        <w:pBdr>
          <w:bottom w:val="single" w:sz="12" w:space="4" w:color="000000"/>
        </w:pBdr>
        <w:rPr>
          <w:szCs w:val="24"/>
        </w:rPr>
      </w:pPr>
      <w:r>
        <w:rPr>
          <w:b/>
          <w:bCs/>
          <w:szCs w:val="24"/>
        </w:rPr>
        <w:lastRenderedPageBreak/>
        <w:t xml:space="preserve">EIXO </w:t>
      </w:r>
      <w:proofErr w:type="gramStart"/>
      <w:r>
        <w:rPr>
          <w:b/>
          <w:bCs/>
          <w:szCs w:val="24"/>
        </w:rPr>
        <w:t>2</w:t>
      </w:r>
      <w:proofErr w:type="gramEnd"/>
      <w:r>
        <w:rPr>
          <w:b/>
          <w:bCs/>
          <w:szCs w:val="24"/>
        </w:rPr>
        <w:t>: Recurso Humanos: Enfermeiros/ACS</w:t>
      </w:r>
    </w:p>
    <w:p w:rsidR="00836D65" w:rsidRPr="007B7F06" w:rsidRDefault="00836D65" w:rsidP="00836D65">
      <w:pPr>
        <w:rPr>
          <w:szCs w:val="24"/>
        </w:rPr>
      </w:pPr>
      <w:r w:rsidRPr="007B7F06">
        <w:rPr>
          <w:szCs w:val="24"/>
        </w:rPr>
        <w:t xml:space="preserve">Nenhum sistema de cadastramento se sustenta sem equipes preparadas para operá-lo, interpretar inconsistências e qualificar as informações produzidas. A insuficiência de capacitação aparece, na literatura, entre as barreiras organizacionais mais recorrentes relacionadas ao tema. Na análise SWOT, a falta de treinamento no </w:t>
      </w:r>
      <w:proofErr w:type="spellStart"/>
      <w:r w:rsidRPr="007B7F06">
        <w:rPr>
          <w:szCs w:val="24"/>
        </w:rPr>
        <w:t>e-SUS</w:t>
      </w:r>
      <w:proofErr w:type="spellEnd"/>
      <w:r w:rsidRPr="007B7F06">
        <w:rPr>
          <w:szCs w:val="24"/>
        </w:rPr>
        <w:t xml:space="preserve"> foi </w:t>
      </w:r>
      <w:proofErr w:type="gramStart"/>
      <w:r w:rsidRPr="007B7F06">
        <w:rPr>
          <w:szCs w:val="24"/>
        </w:rPr>
        <w:t>a</w:t>
      </w:r>
      <w:proofErr w:type="gramEnd"/>
      <w:r w:rsidRPr="007B7F06">
        <w:rPr>
          <w:szCs w:val="24"/>
        </w:rPr>
        <w:t xml:space="preserve"> ameaça mais citada de todas (10 menções), questão que o Diagrama de </w:t>
      </w:r>
      <w:proofErr w:type="spellStart"/>
      <w:r w:rsidRPr="007B7F06">
        <w:rPr>
          <w:szCs w:val="24"/>
        </w:rPr>
        <w:t>Ishikawa</w:t>
      </w:r>
      <w:proofErr w:type="spellEnd"/>
      <w:r w:rsidRPr="007B7F06">
        <w:rPr>
          <w:szCs w:val="24"/>
        </w:rPr>
        <w:t xml:space="preserve"> agrupou no ramo de recursos humanos. A mesma lacuna atravessou as falas dos profissionais sob dois olhares complementares, o pedido de treinamento entre os ACS e o reconhecimento do dever de capacitar entre os enfermeiros. No diagnóstico local, esse achado ganhou maior expressão: a falta de treinamento para resolver inconsistências do </w:t>
      </w:r>
      <w:proofErr w:type="spellStart"/>
      <w:r w:rsidRPr="007B7F06">
        <w:rPr>
          <w:szCs w:val="24"/>
        </w:rPr>
        <w:t>e-SUS</w:t>
      </w:r>
      <w:proofErr w:type="spellEnd"/>
      <w:r w:rsidRPr="007B7F06">
        <w:rPr>
          <w:szCs w:val="24"/>
        </w:rPr>
        <w:t xml:space="preserve"> alcançou 1.250 pontos na matriz GUT, maior pontuação de todo o levantamento; a carência de qualificação para uso dos sistemas de informação somou 1.055 pontos; e a maioria dos ACS recorre ao gerente e a outros ACS, com apenas cerca de um terço (33,3%) mencionando o enfermeiro como referência diante de dúvidas relacionadas ao cadastro. Ao reunir ações de formação permanente e de dimensionamento da força de trabalho, este eixo busca enfrentar diretamente essa lacuna, fortalecendo a atuação integrada entre enfermeiros e ACS.</w:t>
      </w:r>
    </w:p>
    <w:p w:rsidR="00836D65" w:rsidRPr="007B7F06" w:rsidRDefault="00836D65" w:rsidP="00836D6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776"/>
        <w:gridCol w:w="1982"/>
        <w:gridCol w:w="1822"/>
        <w:gridCol w:w="1438"/>
        <w:gridCol w:w="783"/>
      </w:tblGrid>
      <w:tr w:rsidR="00836D65" w:rsidRPr="007B7F06" w:rsidTr="00FD5643">
        <w:trPr>
          <w:tblHeader/>
        </w:trPr>
        <w:tc>
          <w:tcPr>
            <w:tcW w:w="1577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1126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Nó crítico (GUT)</w:t>
            </w:r>
          </w:p>
        </w:tc>
        <w:tc>
          <w:tcPr>
            <w:tcW w:w="1035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 xml:space="preserve">Indicador </w:t>
            </w:r>
          </w:p>
        </w:tc>
        <w:tc>
          <w:tcPr>
            <w:tcW w:w="817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445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Prazo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GESTÃO MUNICIPAL: Secretaria Municipal de Saúde - Contagem-MG</w:t>
            </w:r>
          </w:p>
        </w:tc>
      </w:tr>
      <w:tr w:rsidR="00836D65" w:rsidRPr="007B7F06" w:rsidTr="00FD5643">
        <w:tc>
          <w:tcPr>
            <w:tcW w:w="1577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Treinamento sobre atribuições de enfermeiros e ACS na APS.</w:t>
            </w:r>
          </w:p>
        </w:tc>
        <w:tc>
          <w:tcPr>
            <w:tcW w:w="112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Qualificação da </w:t>
            </w:r>
            <w:proofErr w:type="spellStart"/>
            <w:proofErr w:type="gramStart"/>
            <w:r w:rsidRPr="007B7F06"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(1.055)</w:t>
            </w:r>
          </w:p>
        </w:tc>
        <w:tc>
          <w:tcPr>
            <w:tcW w:w="10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% de profissionais capacitados</w:t>
            </w:r>
          </w:p>
        </w:tc>
        <w:tc>
          <w:tcPr>
            <w:tcW w:w="81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100% dos profissionais capacitados</w:t>
            </w:r>
          </w:p>
        </w:tc>
        <w:tc>
          <w:tcPr>
            <w:tcW w:w="44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77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Treinamento sobre priorização por risco familiar e individual</w:t>
            </w:r>
            <w:proofErr w:type="gramStart"/>
            <w:r w:rsidRPr="007B7F06">
              <w:rPr>
                <w:sz w:val="20"/>
                <w:szCs w:val="20"/>
              </w:rPr>
              <w:t xml:space="preserve">  </w:t>
            </w:r>
            <w:proofErr w:type="gramEnd"/>
            <w:r w:rsidRPr="007B7F06">
              <w:rPr>
                <w:sz w:val="20"/>
                <w:szCs w:val="20"/>
              </w:rPr>
              <w:t>para enfermeiros e ACS.</w:t>
            </w:r>
          </w:p>
        </w:tc>
        <w:tc>
          <w:tcPr>
            <w:tcW w:w="112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Qualificação da </w:t>
            </w:r>
            <w:proofErr w:type="spellStart"/>
            <w:proofErr w:type="gramStart"/>
            <w:r w:rsidRPr="007B7F06"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(1.055)</w:t>
            </w:r>
          </w:p>
        </w:tc>
        <w:tc>
          <w:tcPr>
            <w:tcW w:w="10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% de </w:t>
            </w:r>
            <w:proofErr w:type="spellStart"/>
            <w:proofErr w:type="gramStart"/>
            <w:r w:rsidRPr="007B7F06"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aplicando estratificação de risco</w:t>
            </w:r>
          </w:p>
        </w:tc>
        <w:tc>
          <w:tcPr>
            <w:tcW w:w="81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100% das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</w:p>
        </w:tc>
        <w:tc>
          <w:tcPr>
            <w:tcW w:w="44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77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Treinamento sobre os sistemas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 xml:space="preserve"> Território </w:t>
            </w:r>
            <w:proofErr w:type="gramStart"/>
            <w:r w:rsidRPr="007B7F06">
              <w:rPr>
                <w:sz w:val="20"/>
                <w:szCs w:val="20"/>
              </w:rPr>
              <w:t xml:space="preserve">e </w:t>
            </w:r>
            <w:proofErr w:type="spellStart"/>
            <w:r w:rsidRPr="007B7F06">
              <w:rPr>
                <w:sz w:val="20"/>
                <w:szCs w:val="20"/>
              </w:rPr>
              <w:t>e</w:t>
            </w:r>
            <w:proofErr w:type="gramEnd"/>
            <w:r w:rsidRPr="007B7F06">
              <w:rPr>
                <w:sz w:val="20"/>
                <w:szCs w:val="20"/>
              </w:rPr>
              <w:t>-SUS</w:t>
            </w:r>
            <w:proofErr w:type="spellEnd"/>
            <w:r w:rsidRPr="007B7F06">
              <w:rPr>
                <w:sz w:val="20"/>
                <w:szCs w:val="20"/>
              </w:rPr>
              <w:t xml:space="preserve"> APS para enfermeiros e ACS.</w:t>
            </w:r>
          </w:p>
        </w:tc>
        <w:tc>
          <w:tcPr>
            <w:tcW w:w="112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Falta de treinamento nos sistemas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>/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CadSUS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Web (1.055)</w:t>
            </w:r>
          </w:p>
        </w:tc>
        <w:tc>
          <w:tcPr>
            <w:tcW w:w="10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% de profissionais capacitados nos sistemas</w:t>
            </w:r>
          </w:p>
        </w:tc>
        <w:tc>
          <w:tcPr>
            <w:tcW w:w="81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100% dos profissionais capacitados nos sistemas</w:t>
            </w:r>
          </w:p>
        </w:tc>
        <w:tc>
          <w:tcPr>
            <w:tcW w:w="44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77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Treinamento sobre o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 xml:space="preserve"> APS (PEC) para ACS, com ênfase no registro do cadastramento e na resolução de inconsistências.</w:t>
            </w:r>
          </w:p>
        </w:tc>
        <w:tc>
          <w:tcPr>
            <w:tcW w:w="112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treinamento para inconsistências (1.250 - maior prioridade)</w:t>
            </w:r>
          </w:p>
        </w:tc>
        <w:tc>
          <w:tcPr>
            <w:tcW w:w="10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% de ACS capacitados e</w:t>
            </w:r>
            <w:proofErr w:type="gramStart"/>
            <w:r w:rsidRPr="007B7F06">
              <w:rPr>
                <w:sz w:val="20"/>
                <w:szCs w:val="20"/>
              </w:rPr>
              <w:t xml:space="preserve">  </w:t>
            </w:r>
            <w:proofErr w:type="gramEnd"/>
            <w:r w:rsidRPr="007B7F06">
              <w:rPr>
                <w:sz w:val="20"/>
                <w:szCs w:val="20"/>
              </w:rPr>
              <w:t>monitoramento de número de inconsistências pendentes</w:t>
            </w:r>
          </w:p>
        </w:tc>
        <w:tc>
          <w:tcPr>
            <w:tcW w:w="81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100% dos ACS capacitados e redução de pelo menos 50% das inconsistências</w:t>
            </w:r>
          </w:p>
        </w:tc>
        <w:tc>
          <w:tcPr>
            <w:tcW w:w="44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77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Elaborar instrutivo para resolução das inconsistências do relatório do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>.</w:t>
            </w:r>
          </w:p>
        </w:tc>
        <w:tc>
          <w:tcPr>
            <w:tcW w:w="112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treinamento para inconsistências (1.250)</w:t>
            </w:r>
          </w:p>
        </w:tc>
        <w:tc>
          <w:tcPr>
            <w:tcW w:w="10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Instrutivo publicado e em uso</w:t>
            </w:r>
          </w:p>
        </w:tc>
        <w:tc>
          <w:tcPr>
            <w:tcW w:w="81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Instrutivo disponível em 100% das UBS</w:t>
            </w:r>
          </w:p>
        </w:tc>
        <w:tc>
          <w:tcPr>
            <w:tcW w:w="44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Curto</w:t>
            </w:r>
          </w:p>
        </w:tc>
      </w:tr>
      <w:tr w:rsidR="00836D65" w:rsidRPr="007B7F06" w:rsidTr="00FD5643">
        <w:tc>
          <w:tcPr>
            <w:tcW w:w="1577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Treinamento de estagiário de TI e administrativo do Distrito Sanitário (referência) e gestores </w:t>
            </w:r>
            <w:r w:rsidRPr="007B7F06">
              <w:rPr>
                <w:sz w:val="20"/>
                <w:szCs w:val="20"/>
              </w:rPr>
              <w:lastRenderedPageBreak/>
              <w:t>sobre sistemas de informação.</w:t>
            </w:r>
          </w:p>
        </w:tc>
        <w:tc>
          <w:tcPr>
            <w:tcW w:w="112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lastRenderedPageBreak/>
              <w:t>Falta de referência de TI/suporte (932)</w:t>
            </w:r>
          </w:p>
        </w:tc>
        <w:tc>
          <w:tcPr>
            <w:tcW w:w="10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Referência distrital capacitada</w:t>
            </w:r>
          </w:p>
        </w:tc>
        <w:tc>
          <w:tcPr>
            <w:tcW w:w="81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7B7F06">
              <w:rPr>
                <w:sz w:val="20"/>
                <w:szCs w:val="20"/>
              </w:rPr>
              <w:t>1</w:t>
            </w:r>
            <w:proofErr w:type="gramEnd"/>
            <w:r w:rsidRPr="007B7F06">
              <w:rPr>
                <w:sz w:val="20"/>
                <w:szCs w:val="20"/>
              </w:rPr>
              <w:t xml:space="preserve"> referência formada no distrito</w:t>
            </w:r>
          </w:p>
        </w:tc>
        <w:tc>
          <w:tcPr>
            <w:tcW w:w="44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77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lastRenderedPageBreak/>
              <w:t>Concurso público realizado. Aguardar recrutamento de enfermeiro da família.</w:t>
            </w:r>
          </w:p>
        </w:tc>
        <w:tc>
          <w:tcPr>
            <w:tcW w:w="112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Alta rotatividade de enfermeiros (576)</w:t>
            </w:r>
          </w:p>
        </w:tc>
        <w:tc>
          <w:tcPr>
            <w:tcW w:w="10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Número de enfermeiros recrutados</w:t>
            </w:r>
          </w:p>
        </w:tc>
        <w:tc>
          <w:tcPr>
            <w:tcW w:w="81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Prover todas as vagas de enfermeiro das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com servidor efetivo</w:t>
            </w:r>
          </w:p>
        </w:tc>
        <w:tc>
          <w:tcPr>
            <w:tcW w:w="44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Longo</w:t>
            </w:r>
          </w:p>
        </w:tc>
      </w:tr>
      <w:tr w:rsidR="00836D65" w:rsidRPr="007B7F06" w:rsidTr="00FD5643">
        <w:tc>
          <w:tcPr>
            <w:tcW w:w="1577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Processo seletivo de ACS para adequação do quantitativo ACS/População conforme o MS.</w:t>
            </w:r>
          </w:p>
        </w:tc>
        <w:tc>
          <w:tcPr>
            <w:tcW w:w="112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Cobertura de áreas descobertas (418)</w:t>
            </w:r>
          </w:p>
        </w:tc>
        <w:tc>
          <w:tcPr>
            <w:tcW w:w="10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Razão de ACS por população conforme o Ministério da Saúde</w:t>
            </w:r>
          </w:p>
        </w:tc>
        <w:tc>
          <w:tcPr>
            <w:tcW w:w="81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Adequar </w:t>
            </w:r>
            <w:proofErr w:type="gramStart"/>
            <w:r w:rsidRPr="007B7F06">
              <w:rPr>
                <w:sz w:val="20"/>
                <w:szCs w:val="20"/>
              </w:rPr>
              <w:t>a</w:t>
            </w:r>
            <w:proofErr w:type="gramEnd"/>
            <w:r w:rsidRPr="007B7F06">
              <w:rPr>
                <w:sz w:val="20"/>
                <w:szCs w:val="20"/>
              </w:rPr>
              <w:t xml:space="preserve"> razão ACS/população ao preconizado pelo Ministério da Saúde</w:t>
            </w:r>
          </w:p>
        </w:tc>
        <w:tc>
          <w:tcPr>
            <w:tcW w:w="44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Longo</w:t>
            </w:r>
          </w:p>
        </w:tc>
      </w:tr>
      <w:tr w:rsidR="00836D65" w:rsidRPr="007B7F06" w:rsidTr="00FD5643">
        <w:tc>
          <w:tcPr>
            <w:tcW w:w="1577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proofErr w:type="gramStart"/>
            <w:r w:rsidRPr="007B7F06">
              <w:rPr>
                <w:sz w:val="20"/>
                <w:szCs w:val="20"/>
              </w:rPr>
              <w:t>Implementar</w:t>
            </w:r>
            <w:proofErr w:type="gramEnd"/>
            <w:r w:rsidRPr="007B7F06">
              <w:rPr>
                <w:sz w:val="20"/>
                <w:szCs w:val="20"/>
              </w:rPr>
              <w:t xml:space="preserve"> estratégia de fixação/retenção de enfermeiros da </w:t>
            </w:r>
            <w:proofErr w:type="spellStart"/>
            <w:r w:rsidRPr="007B7F06">
              <w:t>eSF</w:t>
            </w:r>
            <w:proofErr w:type="spellEnd"/>
            <w:r w:rsidRPr="007B7F06">
              <w:rPr>
                <w:sz w:val="20"/>
                <w:szCs w:val="20"/>
              </w:rPr>
              <w:t xml:space="preserve"> (p. ex., incentivo e plano de carreira).</w:t>
            </w:r>
          </w:p>
        </w:tc>
        <w:tc>
          <w:tcPr>
            <w:tcW w:w="112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Alta rotatividade de enfermeiros (576)</w:t>
            </w:r>
          </w:p>
        </w:tc>
        <w:tc>
          <w:tcPr>
            <w:tcW w:w="10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Taxa anual de rotatividade de enfermeiros</w:t>
            </w:r>
          </w:p>
        </w:tc>
        <w:tc>
          <w:tcPr>
            <w:tcW w:w="81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Reduzir a rotatividade anual de enfermeiros em relação ao ano anterior</w:t>
            </w:r>
          </w:p>
        </w:tc>
        <w:tc>
          <w:tcPr>
            <w:tcW w:w="44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Longo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GESTÃO LOCAL: Gerente da Unidade</w:t>
            </w:r>
          </w:p>
        </w:tc>
      </w:tr>
      <w:tr w:rsidR="00836D65" w:rsidRPr="007B7F06" w:rsidTr="00FD5643">
        <w:tc>
          <w:tcPr>
            <w:tcW w:w="1577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Gerir o tempo do ACS em atividades administrativas na UBS, preservando prioridade às suas atribuições essenciais.</w:t>
            </w:r>
          </w:p>
        </w:tc>
        <w:tc>
          <w:tcPr>
            <w:tcW w:w="112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Atividades administrativas na UBS / </w:t>
            </w:r>
            <w:proofErr w:type="gramStart"/>
            <w:r w:rsidRPr="007B7F06">
              <w:rPr>
                <w:sz w:val="20"/>
                <w:szCs w:val="20"/>
              </w:rPr>
              <w:t>desvio</w:t>
            </w:r>
            <w:proofErr w:type="gramEnd"/>
            <w:r w:rsidRPr="007B7F06">
              <w:rPr>
                <w:sz w:val="20"/>
                <w:szCs w:val="20"/>
              </w:rPr>
              <w:t xml:space="preserve"> de função (286)</w:t>
            </w:r>
          </w:p>
        </w:tc>
        <w:tc>
          <w:tcPr>
            <w:tcW w:w="10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% do tempo do ACS dedicado às suas atividades essenciais (atividade-fim)</w:t>
            </w:r>
          </w:p>
        </w:tc>
        <w:tc>
          <w:tcPr>
            <w:tcW w:w="81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Tempo protegido para as atribuições essenciais do ACS</w:t>
            </w:r>
          </w:p>
        </w:tc>
        <w:tc>
          <w:tcPr>
            <w:tcW w:w="44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</w:tbl>
    <w:p w:rsidR="00836D65" w:rsidRPr="007B7F06" w:rsidRDefault="00836D65" w:rsidP="00836D65">
      <w:pPr>
        <w:pBdr>
          <w:bottom w:val="single" w:sz="12" w:space="4" w:color="000000"/>
        </w:pBdr>
        <w:rPr>
          <w:sz w:val="20"/>
          <w:szCs w:val="20"/>
        </w:rPr>
        <w:sectPr w:rsidR="00836D65" w:rsidRPr="007B7F06" w:rsidSect="00310586">
          <w:pgSz w:w="11900" w:h="16840"/>
          <w:pgMar w:top="1701" w:right="1418" w:bottom="1701" w:left="1701" w:header="1134" w:footer="181" w:gutter="0"/>
          <w:cols w:space="720"/>
          <w:docGrid w:linePitch="326"/>
        </w:sectPr>
      </w:pPr>
    </w:p>
    <w:p w:rsidR="00836D65" w:rsidRPr="007B7F06" w:rsidRDefault="00836D65" w:rsidP="00836D65">
      <w:pPr>
        <w:pBdr>
          <w:bottom w:val="single" w:sz="12" w:space="4" w:color="000000"/>
        </w:pBdr>
        <w:rPr>
          <w:szCs w:val="24"/>
        </w:rPr>
      </w:pPr>
      <w:r w:rsidRPr="007B7F06">
        <w:rPr>
          <w:b/>
          <w:bCs/>
          <w:szCs w:val="24"/>
        </w:rPr>
        <w:lastRenderedPageBreak/>
        <w:t xml:space="preserve">EIXO </w:t>
      </w:r>
      <w:proofErr w:type="gramStart"/>
      <w:r w:rsidRPr="007B7F06">
        <w:rPr>
          <w:b/>
          <w:bCs/>
          <w:szCs w:val="24"/>
        </w:rPr>
        <w:t>3</w:t>
      </w:r>
      <w:proofErr w:type="gramEnd"/>
      <w:r w:rsidRPr="007B7F06">
        <w:rPr>
          <w:b/>
          <w:bCs/>
          <w:szCs w:val="24"/>
        </w:rPr>
        <w:t>: Sistemas de Informação e Tecnologia</w:t>
      </w:r>
    </w:p>
    <w:p w:rsidR="00836D65" w:rsidRPr="007B7F06" w:rsidRDefault="00836D65" w:rsidP="00836D65">
      <w:pPr>
        <w:rPr>
          <w:szCs w:val="24"/>
        </w:rPr>
      </w:pPr>
      <w:r w:rsidRPr="007B7F06">
        <w:rPr>
          <w:szCs w:val="24"/>
        </w:rPr>
        <w:t xml:space="preserve">O cadastramento passou a </w:t>
      </w:r>
      <w:proofErr w:type="gramStart"/>
      <w:r w:rsidRPr="007B7F06">
        <w:rPr>
          <w:szCs w:val="24"/>
        </w:rPr>
        <w:t>depender,</w:t>
      </w:r>
      <w:proofErr w:type="gramEnd"/>
      <w:r w:rsidRPr="007B7F06">
        <w:rPr>
          <w:szCs w:val="24"/>
        </w:rPr>
        <w:t xml:space="preserve"> em grande medida, de plataformas digitais capazes de registrar, processar e transmitir dados com segurança e continuidade. Na literatura, as barreiras tecnológicas aparecem entre os obstáculos mais </w:t>
      </w:r>
      <w:proofErr w:type="spellStart"/>
      <w:r w:rsidRPr="007B7F06">
        <w:rPr>
          <w:szCs w:val="24"/>
        </w:rPr>
        <w:t>frequentes</w:t>
      </w:r>
      <w:proofErr w:type="spellEnd"/>
      <w:r w:rsidRPr="007B7F06">
        <w:rPr>
          <w:szCs w:val="24"/>
        </w:rPr>
        <w:t xml:space="preserve"> à qualificação desse processo. Essa centralidade do meio digital já transparecia na análise SWOT, em que o uso do </w:t>
      </w:r>
      <w:proofErr w:type="spellStart"/>
      <w:r w:rsidRPr="007B7F06">
        <w:rPr>
          <w:szCs w:val="24"/>
        </w:rPr>
        <w:t>tablet</w:t>
      </w:r>
      <w:proofErr w:type="spellEnd"/>
      <w:r w:rsidRPr="007B7F06">
        <w:rPr>
          <w:szCs w:val="24"/>
        </w:rPr>
        <w:t xml:space="preserve"> foi </w:t>
      </w:r>
      <w:proofErr w:type="gramStart"/>
      <w:r w:rsidRPr="007B7F06">
        <w:rPr>
          <w:szCs w:val="24"/>
        </w:rPr>
        <w:t>a</w:t>
      </w:r>
      <w:proofErr w:type="gramEnd"/>
      <w:r w:rsidRPr="007B7F06">
        <w:rPr>
          <w:szCs w:val="24"/>
        </w:rPr>
        <w:t xml:space="preserve"> oportunidade mais citada (11 menções), ao lado de ameaças como os problemas de migração de dados (8); no Diagrama de </w:t>
      </w:r>
      <w:proofErr w:type="spellStart"/>
      <w:r w:rsidRPr="007B7F06">
        <w:rPr>
          <w:szCs w:val="24"/>
        </w:rPr>
        <w:t>Ishikawa</w:t>
      </w:r>
      <w:proofErr w:type="spellEnd"/>
      <w:r w:rsidRPr="007B7F06">
        <w:rPr>
          <w:szCs w:val="24"/>
        </w:rPr>
        <w:t xml:space="preserve">, esses fatores compuseram o ramo de sistemas e tecnologia. Nas falas dos profissionais, o problema ganhou nome próprio no desaparecimento e na duplicidade de cadastros e na instabilidade da sincronização, e a árvore de similitude confirmou-o ao dispor, em torno do </w:t>
      </w:r>
      <w:proofErr w:type="spellStart"/>
      <w:r w:rsidRPr="007B7F06">
        <w:rPr>
          <w:szCs w:val="24"/>
        </w:rPr>
        <w:t>tablet</w:t>
      </w:r>
      <w:proofErr w:type="spellEnd"/>
      <w:r w:rsidRPr="007B7F06">
        <w:rPr>
          <w:szCs w:val="24"/>
        </w:rPr>
        <w:t xml:space="preserve">, as ligações entre cadastro, inconsistência e duplicidade, de um lado, e sistema, sincronização e erro, de outro. O diagnóstico local apontou situação semelhante, uma vez que a falta de integração entre o </w:t>
      </w:r>
      <w:proofErr w:type="spellStart"/>
      <w:r w:rsidRPr="007B7F06">
        <w:rPr>
          <w:szCs w:val="24"/>
        </w:rPr>
        <w:t>e-SUS</w:t>
      </w:r>
      <w:proofErr w:type="spellEnd"/>
      <w:r w:rsidRPr="007B7F06">
        <w:rPr>
          <w:szCs w:val="24"/>
        </w:rPr>
        <w:t xml:space="preserve"> APS e o </w:t>
      </w:r>
      <w:proofErr w:type="spellStart"/>
      <w:r w:rsidRPr="007B7F06">
        <w:rPr>
          <w:szCs w:val="24"/>
        </w:rPr>
        <w:t>Vivver</w:t>
      </w:r>
      <w:proofErr w:type="spellEnd"/>
      <w:r w:rsidRPr="007B7F06">
        <w:rPr>
          <w:szCs w:val="24"/>
        </w:rPr>
        <w:t>, com 1.189 pontos na matriz GUT, e os problemas de migração de dados entre versões, com 1.152 pontos, figuraram entre os três principais nós críticos identificados no território. Ao tratar da integração e da estabilidade das plataformas utilizadas, este eixo busca reduzir perdas, inconsistências e retrabalho, assegurando que a informação coletada em campo seja preservada e chegue de forma íntegra aos sistemas de destino.</w:t>
      </w:r>
    </w:p>
    <w:p w:rsidR="00836D65" w:rsidRPr="007B7F06" w:rsidRDefault="00836D65" w:rsidP="00836D6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849"/>
        <w:gridCol w:w="1993"/>
        <w:gridCol w:w="1845"/>
        <w:gridCol w:w="1320"/>
        <w:gridCol w:w="794"/>
      </w:tblGrid>
      <w:tr w:rsidR="00836D65" w:rsidRPr="007B7F06" w:rsidTr="00FD5643">
        <w:trPr>
          <w:tblHeader/>
        </w:trPr>
        <w:tc>
          <w:tcPr>
            <w:tcW w:w="1619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1132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Nó crítico (GUT)</w:t>
            </w:r>
          </w:p>
        </w:tc>
        <w:tc>
          <w:tcPr>
            <w:tcW w:w="1048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750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451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Prazo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GESTÃO MUNICIPAL: Secretaria Municipal de Saúde - Contagem-MG</w:t>
            </w:r>
          </w:p>
        </w:tc>
      </w:tr>
      <w:tr w:rsidR="00836D65" w:rsidRPr="007B7F06" w:rsidTr="00FD5643">
        <w:tc>
          <w:tcPr>
            <w:tcW w:w="1619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Integração dos sistemas que envolvem o cadastro do paciente (</w:t>
            </w:r>
            <w:proofErr w:type="spellStart"/>
            <w:r w:rsidRPr="007B7F06">
              <w:rPr>
                <w:sz w:val="20"/>
                <w:szCs w:val="20"/>
              </w:rPr>
              <w:t>Vivver</w:t>
            </w:r>
            <w:proofErr w:type="spellEnd"/>
            <w:r w:rsidRPr="007B7F06">
              <w:rPr>
                <w:sz w:val="20"/>
                <w:szCs w:val="20"/>
              </w:rPr>
              <w:t xml:space="preserve">,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 xml:space="preserve"> e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CadSUS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Web).</w:t>
            </w:r>
          </w:p>
        </w:tc>
        <w:tc>
          <w:tcPr>
            <w:tcW w:w="113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Falta de integração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>/</w:t>
            </w:r>
            <w:proofErr w:type="spellStart"/>
            <w:r w:rsidRPr="007B7F06">
              <w:rPr>
                <w:sz w:val="20"/>
                <w:szCs w:val="20"/>
              </w:rPr>
              <w:t>Vivver</w:t>
            </w:r>
            <w:proofErr w:type="spellEnd"/>
            <w:r w:rsidRPr="007B7F06">
              <w:rPr>
                <w:sz w:val="20"/>
                <w:szCs w:val="20"/>
              </w:rPr>
              <w:t xml:space="preserve"> (1.189)</w:t>
            </w:r>
          </w:p>
        </w:tc>
        <w:tc>
          <w:tcPr>
            <w:tcW w:w="104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Número de sistemas integrados</w:t>
            </w:r>
          </w:p>
        </w:tc>
        <w:tc>
          <w:tcPr>
            <w:tcW w:w="75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Cadastro do paciente unificado entre os sistemas</w:t>
            </w:r>
          </w:p>
        </w:tc>
        <w:tc>
          <w:tcPr>
            <w:tcW w:w="451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Longo</w:t>
            </w:r>
          </w:p>
        </w:tc>
      </w:tr>
      <w:tr w:rsidR="00836D65" w:rsidRPr="007B7F06" w:rsidTr="00FD5643">
        <w:tc>
          <w:tcPr>
            <w:tcW w:w="1619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Aprimorar a interoperabilidade entre os sistemas de informação do Ministério da Saúde.</w:t>
            </w:r>
          </w:p>
        </w:tc>
        <w:tc>
          <w:tcPr>
            <w:tcW w:w="113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integração (1.189)</w:t>
            </w:r>
          </w:p>
        </w:tc>
        <w:tc>
          <w:tcPr>
            <w:tcW w:w="104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Interoperabilidade implantada</w:t>
            </w:r>
          </w:p>
        </w:tc>
        <w:tc>
          <w:tcPr>
            <w:tcW w:w="75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B7F06">
              <w:rPr>
                <w:sz w:val="20"/>
                <w:szCs w:val="20"/>
              </w:rPr>
              <w:t>e</w:t>
            </w:r>
            <w:proofErr w:type="gramEnd"/>
            <w:r w:rsidRPr="007B7F06">
              <w:rPr>
                <w:sz w:val="20"/>
                <w:szCs w:val="20"/>
              </w:rPr>
              <w:t>-SUS</w:t>
            </w:r>
            <w:proofErr w:type="spellEnd"/>
            <w:r w:rsidRPr="007B7F06">
              <w:rPr>
                <w:sz w:val="20"/>
                <w:szCs w:val="20"/>
              </w:rPr>
              <w:t xml:space="preserve"> e </w:t>
            </w:r>
            <w:proofErr w:type="spellStart"/>
            <w:r w:rsidRPr="007B7F06">
              <w:rPr>
                <w:sz w:val="20"/>
                <w:szCs w:val="20"/>
              </w:rPr>
              <w:t>CadSUS</w:t>
            </w:r>
            <w:proofErr w:type="spellEnd"/>
            <w:r w:rsidRPr="007B7F06">
              <w:rPr>
                <w:sz w:val="20"/>
                <w:szCs w:val="20"/>
              </w:rPr>
              <w:t xml:space="preserve"> operando de forma integrada</w:t>
            </w:r>
          </w:p>
        </w:tc>
        <w:tc>
          <w:tcPr>
            <w:tcW w:w="451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Longo</w:t>
            </w:r>
          </w:p>
        </w:tc>
      </w:tr>
      <w:tr w:rsidR="00836D65" w:rsidRPr="007B7F06" w:rsidTr="00FD5643">
        <w:tc>
          <w:tcPr>
            <w:tcW w:w="1619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Elaboração de instrutivo para resolução de problemas de migração de dados entre PEC </w:t>
            </w:r>
            <w:proofErr w:type="gramStart"/>
            <w:r w:rsidRPr="007B7F06">
              <w:rPr>
                <w:sz w:val="20"/>
                <w:szCs w:val="20"/>
              </w:rPr>
              <w:t xml:space="preserve">e </w:t>
            </w:r>
            <w:proofErr w:type="spellStart"/>
            <w:r w:rsidRPr="007B7F06">
              <w:rPr>
                <w:sz w:val="20"/>
                <w:szCs w:val="20"/>
              </w:rPr>
              <w:t>e</w:t>
            </w:r>
            <w:proofErr w:type="gramEnd"/>
            <w:r w:rsidRPr="007B7F06">
              <w:rPr>
                <w:sz w:val="20"/>
                <w:szCs w:val="20"/>
              </w:rPr>
              <w:t>-SUS</w:t>
            </w:r>
            <w:proofErr w:type="spellEnd"/>
            <w:r w:rsidRPr="007B7F06">
              <w:rPr>
                <w:sz w:val="20"/>
                <w:szCs w:val="20"/>
              </w:rPr>
              <w:t xml:space="preserve"> Território.</w:t>
            </w:r>
          </w:p>
        </w:tc>
        <w:tc>
          <w:tcPr>
            <w:tcW w:w="113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Problemas de migração de dados (1.152)</w:t>
            </w:r>
          </w:p>
        </w:tc>
        <w:tc>
          <w:tcPr>
            <w:tcW w:w="104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Instrutivo publicado e número de perdas por migração</w:t>
            </w:r>
          </w:p>
        </w:tc>
        <w:tc>
          <w:tcPr>
            <w:tcW w:w="75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Nenhuma perda de dados na atualização de versões</w:t>
            </w:r>
          </w:p>
        </w:tc>
        <w:tc>
          <w:tcPr>
            <w:tcW w:w="451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619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Atualizar versões compatíveis dos sistemas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 xml:space="preserve"> PEC × Território.</w:t>
            </w:r>
          </w:p>
        </w:tc>
        <w:tc>
          <w:tcPr>
            <w:tcW w:w="113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Problemas de migração (1.152)</w:t>
            </w:r>
          </w:p>
        </w:tc>
        <w:tc>
          <w:tcPr>
            <w:tcW w:w="104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% de UBS com versões compatíveis</w:t>
            </w:r>
          </w:p>
        </w:tc>
        <w:tc>
          <w:tcPr>
            <w:tcW w:w="75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100% das UBS com versões compatíveis</w:t>
            </w:r>
          </w:p>
        </w:tc>
        <w:tc>
          <w:tcPr>
            <w:tcW w:w="451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619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Buscar junto à SMS, SES e ao MS suporte técnico para o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 xml:space="preserve"> APS.</w:t>
            </w:r>
          </w:p>
        </w:tc>
        <w:tc>
          <w:tcPr>
            <w:tcW w:w="113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referência de TI (932)</w:t>
            </w:r>
          </w:p>
        </w:tc>
        <w:tc>
          <w:tcPr>
            <w:tcW w:w="104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Canal de suporte estabelecido</w:t>
            </w:r>
          </w:p>
        </w:tc>
        <w:tc>
          <w:tcPr>
            <w:tcW w:w="750" w:type="pct"/>
          </w:tcPr>
          <w:p w:rsidR="00836D65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Canal de suporte técnico ativo para o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 xml:space="preserve"> APS</w:t>
            </w:r>
          </w:p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lastRenderedPageBreak/>
              <w:t>GESTÃO DISTRITAL: DS Saúde Vargem das Flores</w:t>
            </w:r>
          </w:p>
        </w:tc>
      </w:tr>
      <w:tr w:rsidR="00836D65" w:rsidRPr="007B7F06" w:rsidTr="00FD5643">
        <w:tc>
          <w:tcPr>
            <w:tcW w:w="1619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Eleição de </w:t>
            </w:r>
            <w:proofErr w:type="gramStart"/>
            <w:r w:rsidRPr="007B7F06">
              <w:rPr>
                <w:sz w:val="20"/>
                <w:szCs w:val="20"/>
              </w:rPr>
              <w:t>1</w:t>
            </w:r>
            <w:proofErr w:type="gramEnd"/>
            <w:r w:rsidRPr="007B7F06">
              <w:rPr>
                <w:sz w:val="20"/>
                <w:szCs w:val="20"/>
              </w:rPr>
              <w:t xml:space="preserve"> ACS de referência em cadastramento por UBS.</w:t>
            </w:r>
          </w:p>
        </w:tc>
        <w:tc>
          <w:tcPr>
            <w:tcW w:w="113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referência de TI/apoio (932)</w:t>
            </w:r>
          </w:p>
        </w:tc>
        <w:tc>
          <w:tcPr>
            <w:tcW w:w="104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Número de UBS com ACS de referência</w:t>
            </w:r>
          </w:p>
        </w:tc>
        <w:tc>
          <w:tcPr>
            <w:tcW w:w="75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7B7F06">
              <w:rPr>
                <w:sz w:val="20"/>
                <w:szCs w:val="20"/>
              </w:rPr>
              <w:t>1</w:t>
            </w:r>
            <w:proofErr w:type="gramEnd"/>
            <w:r w:rsidRPr="007B7F06">
              <w:rPr>
                <w:sz w:val="20"/>
                <w:szCs w:val="20"/>
              </w:rPr>
              <w:t xml:space="preserve"> ACS de referência por UBS</w:t>
            </w:r>
          </w:p>
        </w:tc>
        <w:tc>
          <w:tcPr>
            <w:tcW w:w="451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Curto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GESTÃO LOCAL: Gerente da Unidade</w:t>
            </w:r>
          </w:p>
        </w:tc>
      </w:tr>
      <w:tr w:rsidR="00836D65" w:rsidRPr="007B7F06" w:rsidTr="00FD5643">
        <w:tc>
          <w:tcPr>
            <w:tcW w:w="1619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Garantir acesso ao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CadSUS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Web na unidade.</w:t>
            </w:r>
          </w:p>
        </w:tc>
        <w:tc>
          <w:tcPr>
            <w:tcW w:w="113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Ausência de acesso ao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CadSUS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Web no </w:t>
            </w:r>
            <w:proofErr w:type="spellStart"/>
            <w:r w:rsidRPr="007B7F06">
              <w:rPr>
                <w:sz w:val="20"/>
                <w:szCs w:val="20"/>
              </w:rPr>
              <w:t>tablet</w:t>
            </w:r>
            <w:proofErr w:type="spellEnd"/>
            <w:r w:rsidRPr="007B7F06">
              <w:rPr>
                <w:sz w:val="20"/>
                <w:szCs w:val="20"/>
              </w:rPr>
              <w:t xml:space="preserve"> (928)</w:t>
            </w:r>
          </w:p>
        </w:tc>
        <w:tc>
          <w:tcPr>
            <w:tcW w:w="104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% de UBS com acesso ao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CadSUS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Web</w:t>
            </w:r>
          </w:p>
        </w:tc>
        <w:tc>
          <w:tcPr>
            <w:tcW w:w="75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100% das UBS com acesso ao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CadSUS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Web</w:t>
            </w:r>
          </w:p>
        </w:tc>
        <w:tc>
          <w:tcPr>
            <w:tcW w:w="451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Curto</w:t>
            </w:r>
          </w:p>
        </w:tc>
      </w:tr>
    </w:tbl>
    <w:p w:rsidR="00836D65" w:rsidRPr="007B7F06" w:rsidRDefault="00836D65" w:rsidP="00836D65">
      <w:pPr>
        <w:pBdr>
          <w:bottom w:val="single" w:sz="12" w:space="4" w:color="000000"/>
        </w:pBdr>
        <w:rPr>
          <w:b/>
          <w:bCs/>
          <w:szCs w:val="24"/>
        </w:rPr>
        <w:sectPr w:rsidR="00836D65" w:rsidRPr="007B7F06" w:rsidSect="00310586">
          <w:pgSz w:w="11900" w:h="16840"/>
          <w:pgMar w:top="1701" w:right="1418" w:bottom="1701" w:left="1701" w:header="1134" w:footer="181" w:gutter="0"/>
          <w:cols w:space="720"/>
          <w:docGrid w:linePitch="326"/>
        </w:sectPr>
      </w:pPr>
    </w:p>
    <w:p w:rsidR="00836D65" w:rsidRPr="007B7F06" w:rsidRDefault="00836D65" w:rsidP="00836D65">
      <w:pPr>
        <w:pBdr>
          <w:bottom w:val="single" w:sz="12" w:space="4" w:color="000000"/>
        </w:pBdr>
        <w:rPr>
          <w:szCs w:val="24"/>
        </w:rPr>
      </w:pPr>
      <w:r w:rsidRPr="007B7F06">
        <w:rPr>
          <w:b/>
          <w:bCs/>
          <w:szCs w:val="24"/>
        </w:rPr>
        <w:lastRenderedPageBreak/>
        <w:t xml:space="preserve">EIXO </w:t>
      </w:r>
      <w:proofErr w:type="gramStart"/>
      <w:r w:rsidRPr="007B7F06">
        <w:rPr>
          <w:b/>
          <w:bCs/>
          <w:szCs w:val="24"/>
        </w:rPr>
        <w:t>4</w:t>
      </w:r>
      <w:proofErr w:type="gramEnd"/>
      <w:r w:rsidRPr="007B7F06">
        <w:rPr>
          <w:b/>
          <w:bCs/>
          <w:szCs w:val="24"/>
        </w:rPr>
        <w:t>: Gestão da Informação em Saúde</w:t>
      </w:r>
    </w:p>
    <w:p w:rsidR="00836D65" w:rsidRPr="007B7F06" w:rsidRDefault="00836D65" w:rsidP="00836D65">
      <w:pPr>
        <w:rPr>
          <w:szCs w:val="24"/>
        </w:rPr>
      </w:pPr>
      <w:r w:rsidRPr="007B7F06">
        <w:rPr>
          <w:szCs w:val="24"/>
        </w:rPr>
        <w:t xml:space="preserve">O cadastro passa a orientar o planejamento do cuidado quando as informações registradas </w:t>
      </w:r>
      <w:r w:rsidRPr="00B646D0">
        <w:rPr>
          <w:szCs w:val="24"/>
        </w:rPr>
        <w:t>são confiáveis, completas e utilizadas de forma sistemática pelas equipes e pela gestão. Como foi identificado que, na prática, o processo ainda combina registros em papel e ferramentas digitais, a evidência disponível sustenta uma transição gradual para o formato eletrônico, acompanhada de padronização, acompanhamento e apoio aos profissionais. Na análise SWOT, as informações incorretas no momento do cadastro constaram entre as fraquezas identificadas pelas equipes (</w:t>
      </w:r>
      <w:proofErr w:type="gramStart"/>
      <w:r w:rsidRPr="00B646D0">
        <w:rPr>
          <w:szCs w:val="24"/>
        </w:rPr>
        <w:t>4</w:t>
      </w:r>
      <w:proofErr w:type="gramEnd"/>
      <w:r w:rsidRPr="00B646D0">
        <w:rPr>
          <w:szCs w:val="24"/>
        </w:rPr>
        <w:t xml:space="preserve"> menções), elemento que o Diagrama de </w:t>
      </w:r>
      <w:proofErr w:type="spellStart"/>
      <w:r w:rsidRPr="00B646D0">
        <w:rPr>
          <w:szCs w:val="24"/>
        </w:rPr>
        <w:t>Ishikawa</w:t>
      </w:r>
      <w:proofErr w:type="spellEnd"/>
      <w:r w:rsidRPr="00B646D0">
        <w:rPr>
          <w:szCs w:val="24"/>
        </w:rPr>
        <w:t xml:space="preserve"> alocou no ramo de gestão da informação. Esse ramo reapareceu nas respostas abertas ligado às limitações do </w:t>
      </w:r>
      <w:proofErr w:type="spellStart"/>
      <w:r w:rsidRPr="00B646D0">
        <w:rPr>
          <w:szCs w:val="24"/>
        </w:rPr>
        <w:t>tablet</w:t>
      </w:r>
      <w:proofErr w:type="spellEnd"/>
      <w:r w:rsidRPr="00B646D0">
        <w:rPr>
          <w:szCs w:val="24"/>
        </w:rPr>
        <w:t xml:space="preserve">, com relatos de preferência pelo registro em papel e de erros de </w:t>
      </w:r>
      <w:r w:rsidRPr="007B7F06">
        <w:rPr>
          <w:szCs w:val="24"/>
        </w:rPr>
        <w:t xml:space="preserve">preenchimento, o que dá base à transição gradual para o registro digital aqui proposta. No diagnóstico local, os principais gargalos foram </w:t>
      </w:r>
      <w:proofErr w:type="gramStart"/>
      <w:r w:rsidRPr="007B7F06">
        <w:rPr>
          <w:szCs w:val="24"/>
        </w:rPr>
        <w:t>as</w:t>
      </w:r>
      <w:proofErr w:type="gramEnd"/>
      <w:r w:rsidRPr="007B7F06">
        <w:rPr>
          <w:szCs w:val="24"/>
        </w:rPr>
        <w:t xml:space="preserve"> informações incompletas ou inconsistentes no momento do registro, com 358 pontos na matriz GUT, e a ausência de monitoramento regular, com 241 pontos. Voltado à qualificação dos registros e ao uso das informações para tomada de decisão, este eixo busca enfrentar essas duas frentes, fortalecendo a capacidade das </w:t>
      </w:r>
      <w:proofErr w:type="spellStart"/>
      <w:proofErr w:type="gramStart"/>
      <w:r w:rsidRPr="007B7F06">
        <w:t>eSF</w:t>
      </w:r>
      <w:proofErr w:type="spellEnd"/>
      <w:proofErr w:type="gramEnd"/>
      <w:r w:rsidRPr="007B7F06">
        <w:rPr>
          <w:szCs w:val="24"/>
        </w:rPr>
        <w:t xml:space="preserve"> e da gestão de acompanhar o território, identificar prioridades e planejar intervenções oportunas.</w:t>
      </w:r>
    </w:p>
    <w:p w:rsidR="00836D65" w:rsidRPr="007B7F06" w:rsidRDefault="00836D65" w:rsidP="00836D6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654"/>
        <w:gridCol w:w="1919"/>
        <w:gridCol w:w="1792"/>
        <w:gridCol w:w="1670"/>
        <w:gridCol w:w="766"/>
      </w:tblGrid>
      <w:tr w:rsidR="00836D65" w:rsidRPr="007B7F06" w:rsidTr="00FD5643">
        <w:trPr>
          <w:tblHeader/>
        </w:trPr>
        <w:tc>
          <w:tcPr>
            <w:tcW w:w="1508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1090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Nó crítico (GUT)</w:t>
            </w:r>
          </w:p>
        </w:tc>
        <w:tc>
          <w:tcPr>
            <w:tcW w:w="1018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 xml:space="preserve">Indicador </w:t>
            </w:r>
          </w:p>
        </w:tc>
        <w:tc>
          <w:tcPr>
            <w:tcW w:w="949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435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Prazo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GESTÃO MUNICIPAL: Secretaria Municipal de Saúde - Contagem-MG</w:t>
            </w:r>
          </w:p>
        </w:tc>
      </w:tr>
      <w:tr w:rsidR="00836D65" w:rsidRPr="007B7F06" w:rsidTr="00FD5643">
        <w:tc>
          <w:tcPr>
            <w:tcW w:w="1508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Contratação de </w:t>
            </w:r>
            <w:proofErr w:type="gramStart"/>
            <w:r w:rsidRPr="007B7F06">
              <w:rPr>
                <w:sz w:val="20"/>
                <w:szCs w:val="20"/>
              </w:rPr>
              <w:t>1</w:t>
            </w:r>
            <w:proofErr w:type="gramEnd"/>
            <w:r w:rsidRPr="007B7F06">
              <w:rPr>
                <w:sz w:val="20"/>
                <w:szCs w:val="20"/>
              </w:rPr>
              <w:t xml:space="preserve"> administrativo para o Distrito, para monitorar e analisar os dados e compartilhá-los com gestores e </w:t>
            </w:r>
            <w:proofErr w:type="spellStart"/>
            <w:r w:rsidRPr="007B7F06">
              <w:t>eSF</w:t>
            </w:r>
            <w:proofErr w:type="spellEnd"/>
            <w:r w:rsidRPr="007B7F06">
              <w:rPr>
                <w:sz w:val="20"/>
                <w:szCs w:val="20"/>
              </w:rPr>
              <w:t>.</w:t>
            </w:r>
          </w:p>
        </w:tc>
        <w:tc>
          <w:tcPr>
            <w:tcW w:w="109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monitoramento e análise dos dados (241)</w:t>
            </w:r>
          </w:p>
        </w:tc>
        <w:tc>
          <w:tcPr>
            <w:tcW w:w="101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Profissional contratado e em atuação e número de análises por mês</w:t>
            </w:r>
          </w:p>
        </w:tc>
        <w:tc>
          <w:tcPr>
            <w:tcW w:w="949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7B7F06">
              <w:rPr>
                <w:sz w:val="20"/>
                <w:szCs w:val="20"/>
              </w:rPr>
              <w:t>1</w:t>
            </w:r>
            <w:proofErr w:type="gramEnd"/>
            <w:r w:rsidRPr="007B7F06">
              <w:rPr>
                <w:sz w:val="20"/>
                <w:szCs w:val="20"/>
              </w:rPr>
              <w:t xml:space="preserve"> análise mensal por UBS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Curto</w:t>
            </w:r>
          </w:p>
        </w:tc>
      </w:tr>
      <w:tr w:rsidR="00836D65" w:rsidRPr="007B7F06" w:rsidTr="00FD5643">
        <w:tc>
          <w:tcPr>
            <w:tcW w:w="1508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Criar cronograma fixo mensal, junto aos gerentes, para acompanhamento dos dados.</w:t>
            </w:r>
          </w:p>
        </w:tc>
        <w:tc>
          <w:tcPr>
            <w:tcW w:w="109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monitoramento (241)</w:t>
            </w:r>
          </w:p>
        </w:tc>
        <w:tc>
          <w:tcPr>
            <w:tcW w:w="101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Cronograma cumprido</w:t>
            </w:r>
          </w:p>
        </w:tc>
        <w:tc>
          <w:tcPr>
            <w:tcW w:w="949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Acompanhamento mensal em 100% das UBS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Curto</w:t>
            </w:r>
          </w:p>
        </w:tc>
      </w:tr>
      <w:tr w:rsidR="00836D65" w:rsidRPr="007B7F06" w:rsidTr="00FD5643">
        <w:tc>
          <w:tcPr>
            <w:tcW w:w="1508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Elaborar estratégias para divulgar </w:t>
            </w:r>
            <w:proofErr w:type="gramStart"/>
            <w:r w:rsidRPr="007B7F06">
              <w:rPr>
                <w:sz w:val="20"/>
                <w:szCs w:val="20"/>
              </w:rPr>
              <w:t>à</w:t>
            </w:r>
            <w:proofErr w:type="gramEnd"/>
            <w:r w:rsidRPr="007B7F06">
              <w:rPr>
                <w:sz w:val="20"/>
                <w:szCs w:val="20"/>
              </w:rPr>
              <w:t xml:space="preserve"> comunidade o trabalho do ACS e a documentação necessária ao cadastro.</w:t>
            </w:r>
          </w:p>
        </w:tc>
        <w:tc>
          <w:tcPr>
            <w:tcW w:w="109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Usuário não informa / dados falsos (358)</w:t>
            </w:r>
          </w:p>
        </w:tc>
        <w:tc>
          <w:tcPr>
            <w:tcW w:w="101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% de cadastros com dados completos</w:t>
            </w:r>
          </w:p>
        </w:tc>
        <w:tc>
          <w:tcPr>
            <w:tcW w:w="949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Pelo menos 95% dos cadastros com dados completos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08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Elaborar POP sobre o cadastramento familiar realizado no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 xml:space="preserve"> Território (</w:t>
            </w:r>
            <w:proofErr w:type="spellStart"/>
            <w:r w:rsidRPr="007B7F06">
              <w:rPr>
                <w:sz w:val="20"/>
                <w:szCs w:val="20"/>
              </w:rPr>
              <w:t>tablet</w:t>
            </w:r>
            <w:proofErr w:type="spellEnd"/>
            <w:r w:rsidRPr="007B7F06">
              <w:rPr>
                <w:sz w:val="20"/>
                <w:szCs w:val="20"/>
              </w:rPr>
              <w:t xml:space="preserve">) e pelo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 xml:space="preserve"> APS (PEC).</w:t>
            </w:r>
          </w:p>
        </w:tc>
        <w:tc>
          <w:tcPr>
            <w:tcW w:w="109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Erros no preenchimento dos cadastros (145)</w:t>
            </w:r>
          </w:p>
        </w:tc>
        <w:tc>
          <w:tcPr>
            <w:tcW w:w="101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POP publicado e em uso</w:t>
            </w:r>
          </w:p>
        </w:tc>
        <w:tc>
          <w:tcPr>
            <w:tcW w:w="949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POP disponível em 100% das UBS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Curto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GESTÃO LOCAL: Gerente da Unidade</w:t>
            </w:r>
          </w:p>
        </w:tc>
      </w:tr>
      <w:tr w:rsidR="00836D65" w:rsidRPr="007B7F06" w:rsidTr="00FD5643">
        <w:tc>
          <w:tcPr>
            <w:tcW w:w="1508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Implantar uso progressivo do </w:t>
            </w:r>
            <w:proofErr w:type="spellStart"/>
            <w:r w:rsidRPr="007B7F06">
              <w:rPr>
                <w:sz w:val="20"/>
                <w:szCs w:val="20"/>
              </w:rPr>
              <w:t>tablet</w:t>
            </w:r>
            <w:proofErr w:type="spellEnd"/>
            <w:r w:rsidRPr="007B7F06">
              <w:rPr>
                <w:sz w:val="20"/>
                <w:szCs w:val="20"/>
              </w:rPr>
              <w:t xml:space="preserve"> para o ACS que utiliza registro em papel, com capacitação prática e </w:t>
            </w:r>
            <w:r w:rsidRPr="007B7F06">
              <w:rPr>
                <w:sz w:val="20"/>
                <w:szCs w:val="20"/>
              </w:rPr>
              <w:lastRenderedPageBreak/>
              <w:t>acompanhamento em campo.</w:t>
            </w:r>
          </w:p>
        </w:tc>
        <w:tc>
          <w:tcPr>
            <w:tcW w:w="109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lastRenderedPageBreak/>
              <w:t>Registro ainda em papel / modalidade híbrida (17)</w:t>
            </w:r>
          </w:p>
        </w:tc>
        <w:tc>
          <w:tcPr>
            <w:tcW w:w="101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% de ACS que migraram para o </w:t>
            </w:r>
            <w:proofErr w:type="spellStart"/>
            <w:r w:rsidRPr="007B7F06">
              <w:rPr>
                <w:sz w:val="20"/>
                <w:szCs w:val="20"/>
              </w:rPr>
              <w:t>tablet</w:t>
            </w:r>
            <w:proofErr w:type="spellEnd"/>
          </w:p>
        </w:tc>
        <w:tc>
          <w:tcPr>
            <w:tcW w:w="949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100% dos ACS que usavam </w:t>
            </w:r>
            <w:proofErr w:type="gramStart"/>
            <w:r w:rsidRPr="007B7F06">
              <w:rPr>
                <w:sz w:val="20"/>
                <w:szCs w:val="20"/>
              </w:rPr>
              <w:t xml:space="preserve">papel migrados para o </w:t>
            </w:r>
            <w:proofErr w:type="spellStart"/>
            <w:r w:rsidRPr="007B7F06">
              <w:rPr>
                <w:sz w:val="20"/>
                <w:szCs w:val="20"/>
              </w:rPr>
              <w:lastRenderedPageBreak/>
              <w:t>tablet</w:t>
            </w:r>
            <w:proofErr w:type="spellEnd"/>
            <w:proofErr w:type="gramEnd"/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lastRenderedPageBreak/>
              <w:t>Longo</w:t>
            </w:r>
          </w:p>
        </w:tc>
      </w:tr>
    </w:tbl>
    <w:p w:rsidR="00836D65" w:rsidRPr="007B7F06" w:rsidRDefault="00836D65" w:rsidP="00836D65">
      <w:pPr>
        <w:pBdr>
          <w:bottom w:val="single" w:sz="12" w:space="4" w:color="000000"/>
        </w:pBdr>
        <w:rPr>
          <w:b/>
          <w:bCs/>
          <w:szCs w:val="24"/>
        </w:rPr>
        <w:sectPr w:rsidR="00836D65" w:rsidRPr="007B7F06" w:rsidSect="00310586">
          <w:pgSz w:w="11900" w:h="16840"/>
          <w:pgMar w:top="1701" w:right="1418" w:bottom="1701" w:left="1701" w:header="1134" w:footer="181" w:gutter="0"/>
          <w:cols w:space="720"/>
          <w:docGrid w:linePitch="326"/>
        </w:sectPr>
      </w:pPr>
    </w:p>
    <w:p w:rsidR="00836D65" w:rsidRPr="007B7F06" w:rsidRDefault="00836D65" w:rsidP="00836D65">
      <w:pPr>
        <w:pBdr>
          <w:bottom w:val="single" w:sz="12" w:space="4" w:color="000000"/>
        </w:pBdr>
        <w:rPr>
          <w:szCs w:val="24"/>
        </w:rPr>
      </w:pPr>
      <w:r w:rsidRPr="007B7F06">
        <w:rPr>
          <w:b/>
          <w:bCs/>
          <w:szCs w:val="24"/>
        </w:rPr>
        <w:lastRenderedPageBreak/>
        <w:t xml:space="preserve">EIXO </w:t>
      </w:r>
      <w:proofErr w:type="gramStart"/>
      <w:r w:rsidRPr="007B7F06">
        <w:rPr>
          <w:b/>
          <w:bCs/>
          <w:szCs w:val="24"/>
        </w:rPr>
        <w:t>5</w:t>
      </w:r>
      <w:proofErr w:type="gramEnd"/>
      <w:r w:rsidRPr="007B7F06">
        <w:rPr>
          <w:b/>
          <w:bCs/>
          <w:szCs w:val="24"/>
        </w:rPr>
        <w:t>: Infraestrutura e Recursos Materiais</w:t>
      </w:r>
    </w:p>
    <w:p w:rsidR="00836D65" w:rsidRPr="007B7F06" w:rsidRDefault="00836D65" w:rsidP="00836D65">
      <w:pPr>
        <w:rPr>
          <w:szCs w:val="24"/>
        </w:rPr>
      </w:pPr>
      <w:r w:rsidRPr="007B7F06">
        <w:rPr>
          <w:szCs w:val="24"/>
        </w:rPr>
        <w:t xml:space="preserve">As condições materiais são </w:t>
      </w:r>
      <w:proofErr w:type="gramStart"/>
      <w:r w:rsidRPr="007B7F06">
        <w:rPr>
          <w:szCs w:val="24"/>
        </w:rPr>
        <w:t>essenciais para viabilizar as ações previstas no Plano de Melhorias, especialmente em um processo que depende de equipamentos, conectividade</w:t>
      </w:r>
      <w:proofErr w:type="gramEnd"/>
      <w:r w:rsidRPr="007B7F06">
        <w:rPr>
          <w:szCs w:val="24"/>
        </w:rPr>
        <w:t xml:space="preserve"> e suporte operacional. A literatura internacional já apontava limitações relacionadas a dispositivos e acesso à internet entre os principais obstáculos ao cadastramento. Esses limites já concentravam boa parte das ameaças levantadas na análise SWOT, como a falta de computadores (</w:t>
      </w:r>
      <w:proofErr w:type="gramStart"/>
      <w:r w:rsidRPr="007B7F06">
        <w:rPr>
          <w:szCs w:val="24"/>
        </w:rPr>
        <w:t>7</w:t>
      </w:r>
      <w:proofErr w:type="gramEnd"/>
      <w:r w:rsidRPr="007B7F06">
        <w:rPr>
          <w:szCs w:val="24"/>
        </w:rPr>
        <w:t xml:space="preserve"> menções), o </w:t>
      </w:r>
      <w:proofErr w:type="spellStart"/>
      <w:r w:rsidRPr="007B7F06">
        <w:rPr>
          <w:szCs w:val="24"/>
        </w:rPr>
        <w:t>tablet</w:t>
      </w:r>
      <w:proofErr w:type="spellEnd"/>
      <w:r w:rsidRPr="007B7F06">
        <w:rPr>
          <w:szCs w:val="24"/>
        </w:rPr>
        <w:t xml:space="preserve"> obsoleto (6) e a carência de transporte (5), reunidas no ramo de infraestrutura do Diagrama de </w:t>
      </w:r>
      <w:proofErr w:type="spellStart"/>
      <w:r w:rsidRPr="007B7F06">
        <w:rPr>
          <w:szCs w:val="24"/>
        </w:rPr>
        <w:t>Ishikawa</w:t>
      </w:r>
      <w:proofErr w:type="spellEnd"/>
      <w:r w:rsidRPr="007B7F06">
        <w:rPr>
          <w:szCs w:val="24"/>
        </w:rPr>
        <w:t xml:space="preserve">. A precariedade do suporte e da infraestrutura também emergiu nas falas, com queixas de ausência de apoio e de conexão instável, o que sustenta as ações materiais deste eixo. No distrito, essa fragilidade também se evidenciou: o uso de </w:t>
      </w:r>
      <w:proofErr w:type="spellStart"/>
      <w:r w:rsidRPr="007B7F06">
        <w:rPr>
          <w:szCs w:val="24"/>
        </w:rPr>
        <w:t>tablets</w:t>
      </w:r>
      <w:proofErr w:type="spellEnd"/>
      <w:r w:rsidRPr="007B7F06">
        <w:rPr>
          <w:szCs w:val="24"/>
        </w:rPr>
        <w:t xml:space="preserve"> obsoletos apresentou a maior pontuação do eixo, com 1.066 pontos na matriz GUT, seguido pela falta de uniformes, com 750 pontos, pelo número insuficiente de computadores, com 716 pontos, e pela instabilidade da internet, com 632 pontos. Ao fortalecer essa base física e tecnológica, as ações propostas buscam criar condições mais adequadas para o trabalho das equipes e para a realização de um cadastramento oportuno, seguro e qualificado.</w:t>
      </w:r>
    </w:p>
    <w:p w:rsidR="00836D65" w:rsidRPr="007B7F06" w:rsidRDefault="00836D65" w:rsidP="00836D6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751"/>
        <w:gridCol w:w="2047"/>
        <w:gridCol w:w="1878"/>
        <w:gridCol w:w="1359"/>
        <w:gridCol w:w="766"/>
      </w:tblGrid>
      <w:tr w:rsidR="00836D65" w:rsidRPr="007B7F06" w:rsidTr="00FD5643">
        <w:trPr>
          <w:tblHeader/>
        </w:trPr>
        <w:tc>
          <w:tcPr>
            <w:tcW w:w="1563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1163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Nó crítico (GUT)</w:t>
            </w:r>
          </w:p>
        </w:tc>
        <w:tc>
          <w:tcPr>
            <w:tcW w:w="1067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 xml:space="preserve">Indicador </w:t>
            </w:r>
          </w:p>
        </w:tc>
        <w:tc>
          <w:tcPr>
            <w:tcW w:w="772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435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Prazo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GESTÃO MUNICIPAL: Secretaria Municipal de Saúde - Contagem-MG</w:t>
            </w:r>
          </w:p>
        </w:tc>
      </w:tr>
      <w:tr w:rsidR="00836D65" w:rsidRPr="007B7F06" w:rsidTr="00FD5643">
        <w:tc>
          <w:tcPr>
            <w:tcW w:w="1563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Organizar os processos internos da SMS para garantir o envio de material de escritório às UBS/profissionais.</w:t>
            </w:r>
          </w:p>
        </w:tc>
        <w:tc>
          <w:tcPr>
            <w:tcW w:w="1163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material de escritório (437)</w:t>
            </w:r>
          </w:p>
        </w:tc>
        <w:tc>
          <w:tcPr>
            <w:tcW w:w="106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Cumprimento do fluxo de envio</w:t>
            </w:r>
          </w:p>
        </w:tc>
        <w:tc>
          <w:tcPr>
            <w:tcW w:w="77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Abastecimento regular em 100% das UBS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63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Internet de boa qualidade nas UBS (estabilidade e rapidez).</w:t>
            </w:r>
          </w:p>
        </w:tc>
        <w:tc>
          <w:tcPr>
            <w:tcW w:w="1163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Internet: sinal instável (632)</w:t>
            </w:r>
          </w:p>
        </w:tc>
        <w:tc>
          <w:tcPr>
            <w:tcW w:w="106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% de UBS com internet estável</w:t>
            </w:r>
          </w:p>
        </w:tc>
        <w:tc>
          <w:tcPr>
            <w:tcW w:w="77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100% das UBS com internet estável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63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Aquisição de transporte específico para áreas distantes e rurais (caminhonete).</w:t>
            </w:r>
          </w:p>
        </w:tc>
        <w:tc>
          <w:tcPr>
            <w:tcW w:w="1163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transporte para visita domiciliar (170)</w:t>
            </w:r>
          </w:p>
        </w:tc>
        <w:tc>
          <w:tcPr>
            <w:tcW w:w="106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Veículo disponível para áreas rurais</w:t>
            </w:r>
          </w:p>
        </w:tc>
        <w:tc>
          <w:tcPr>
            <w:tcW w:w="77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Transporte garantido para as áreas distantes e rurais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Longo</w:t>
            </w:r>
          </w:p>
        </w:tc>
      </w:tr>
      <w:tr w:rsidR="00836D65" w:rsidRPr="007B7F06" w:rsidTr="00FD5643">
        <w:tc>
          <w:tcPr>
            <w:tcW w:w="1563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Entrega de uniformes com periodicidade e qualidade, atendendo às leis de segurança do trabalho.</w:t>
            </w:r>
          </w:p>
        </w:tc>
        <w:tc>
          <w:tcPr>
            <w:tcW w:w="1163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uniformes (750)</w:t>
            </w:r>
          </w:p>
        </w:tc>
        <w:tc>
          <w:tcPr>
            <w:tcW w:w="106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Cumprimento do cronograma de entrega</w:t>
            </w:r>
          </w:p>
        </w:tc>
        <w:tc>
          <w:tcPr>
            <w:tcW w:w="77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Entrega semestral a 100% dos ACS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63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Realizar compra de equipamento portátil (</w:t>
            </w:r>
            <w:proofErr w:type="spellStart"/>
            <w:r w:rsidRPr="007B7F06">
              <w:rPr>
                <w:sz w:val="20"/>
                <w:szCs w:val="20"/>
              </w:rPr>
              <w:t>tablet</w:t>
            </w:r>
            <w:proofErr w:type="spellEnd"/>
            <w:r w:rsidRPr="007B7F06">
              <w:rPr>
                <w:sz w:val="20"/>
                <w:szCs w:val="20"/>
              </w:rPr>
              <w:t>) com configurações atualizadas.</w:t>
            </w:r>
          </w:p>
        </w:tc>
        <w:tc>
          <w:tcPr>
            <w:tcW w:w="1163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B7F06">
              <w:rPr>
                <w:sz w:val="20"/>
                <w:szCs w:val="20"/>
              </w:rPr>
              <w:t>Tablet</w:t>
            </w:r>
            <w:proofErr w:type="spellEnd"/>
            <w:r w:rsidRPr="007B7F06">
              <w:rPr>
                <w:sz w:val="20"/>
                <w:szCs w:val="20"/>
              </w:rPr>
              <w:t xml:space="preserve"> ultrapassado/obsoleto (1.066)</w:t>
            </w:r>
          </w:p>
        </w:tc>
        <w:tc>
          <w:tcPr>
            <w:tcW w:w="106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% de ACS com </w:t>
            </w:r>
            <w:proofErr w:type="spellStart"/>
            <w:r w:rsidRPr="007B7F06">
              <w:rPr>
                <w:sz w:val="20"/>
                <w:szCs w:val="20"/>
              </w:rPr>
              <w:t>tablet</w:t>
            </w:r>
            <w:proofErr w:type="spellEnd"/>
            <w:r w:rsidRPr="007B7F06">
              <w:rPr>
                <w:sz w:val="20"/>
                <w:szCs w:val="20"/>
              </w:rPr>
              <w:t xml:space="preserve"> funcional</w:t>
            </w:r>
          </w:p>
        </w:tc>
        <w:tc>
          <w:tcPr>
            <w:tcW w:w="77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100% dos ACS com </w:t>
            </w:r>
            <w:proofErr w:type="spellStart"/>
            <w:r w:rsidRPr="007B7F06">
              <w:rPr>
                <w:sz w:val="20"/>
                <w:szCs w:val="20"/>
              </w:rPr>
              <w:t>tablet</w:t>
            </w:r>
            <w:proofErr w:type="spellEnd"/>
            <w:r w:rsidRPr="007B7F06">
              <w:rPr>
                <w:sz w:val="20"/>
                <w:szCs w:val="20"/>
              </w:rPr>
              <w:t xml:space="preserve"> funcional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63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proofErr w:type="gramStart"/>
            <w:r w:rsidRPr="007B7F06">
              <w:rPr>
                <w:sz w:val="20"/>
                <w:szCs w:val="20"/>
              </w:rPr>
              <w:t xml:space="preserve">Aquisição de </w:t>
            </w:r>
            <w:proofErr w:type="spellStart"/>
            <w:r w:rsidRPr="007B7F06">
              <w:rPr>
                <w:sz w:val="20"/>
                <w:szCs w:val="20"/>
              </w:rPr>
              <w:t>tablets</w:t>
            </w:r>
            <w:proofErr w:type="spellEnd"/>
            <w:r w:rsidRPr="007B7F06">
              <w:rPr>
                <w:sz w:val="20"/>
                <w:szCs w:val="20"/>
              </w:rPr>
              <w:t xml:space="preserve"> reservas</w:t>
            </w:r>
            <w:proofErr w:type="gramEnd"/>
            <w:r w:rsidRPr="007B7F06">
              <w:rPr>
                <w:sz w:val="20"/>
                <w:szCs w:val="20"/>
              </w:rPr>
              <w:t xml:space="preserve"> para troca imediata em manutenção/reposição.</w:t>
            </w:r>
          </w:p>
        </w:tc>
        <w:tc>
          <w:tcPr>
            <w:tcW w:w="1163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B7F06">
              <w:rPr>
                <w:sz w:val="20"/>
                <w:szCs w:val="20"/>
              </w:rPr>
              <w:t>Tablet</w:t>
            </w:r>
            <w:proofErr w:type="spellEnd"/>
            <w:r w:rsidRPr="007B7F06">
              <w:rPr>
                <w:sz w:val="20"/>
                <w:szCs w:val="20"/>
              </w:rPr>
              <w:t xml:space="preserve"> obsoleto (1.066)</w:t>
            </w:r>
          </w:p>
        </w:tc>
        <w:tc>
          <w:tcPr>
            <w:tcW w:w="106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Número de </w:t>
            </w:r>
            <w:proofErr w:type="spellStart"/>
            <w:r w:rsidRPr="007B7F06">
              <w:rPr>
                <w:sz w:val="20"/>
                <w:szCs w:val="20"/>
              </w:rPr>
              <w:t>tablets</w:t>
            </w:r>
            <w:proofErr w:type="spellEnd"/>
            <w:r w:rsidRPr="007B7F06">
              <w:rPr>
                <w:sz w:val="20"/>
                <w:szCs w:val="20"/>
              </w:rPr>
              <w:t xml:space="preserve"> reservas disponíveis no Distrito</w:t>
            </w:r>
          </w:p>
        </w:tc>
        <w:tc>
          <w:tcPr>
            <w:tcW w:w="77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Reserva suficiente para troca imediata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63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lastRenderedPageBreak/>
              <w:t xml:space="preserve">Viabilizar conectividade (internet) no </w:t>
            </w:r>
            <w:proofErr w:type="spellStart"/>
            <w:r w:rsidRPr="007B7F06">
              <w:rPr>
                <w:sz w:val="20"/>
                <w:szCs w:val="20"/>
              </w:rPr>
              <w:t>tablet</w:t>
            </w:r>
            <w:proofErr w:type="spellEnd"/>
            <w:r w:rsidRPr="007B7F06">
              <w:rPr>
                <w:sz w:val="20"/>
                <w:szCs w:val="20"/>
              </w:rPr>
              <w:t xml:space="preserve"> por chip com </w:t>
            </w:r>
            <w:proofErr w:type="spellStart"/>
            <w:r w:rsidRPr="007B7F06">
              <w:rPr>
                <w:sz w:val="20"/>
                <w:szCs w:val="20"/>
              </w:rPr>
              <w:t>geolocalização</w:t>
            </w:r>
            <w:proofErr w:type="spellEnd"/>
            <w:r w:rsidRPr="007B7F06">
              <w:rPr>
                <w:sz w:val="20"/>
                <w:szCs w:val="20"/>
              </w:rPr>
              <w:t>.</w:t>
            </w:r>
          </w:p>
        </w:tc>
        <w:tc>
          <w:tcPr>
            <w:tcW w:w="1163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Internet/instabilidade (632)</w:t>
            </w:r>
          </w:p>
        </w:tc>
        <w:tc>
          <w:tcPr>
            <w:tcW w:w="106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% de </w:t>
            </w:r>
            <w:proofErr w:type="spellStart"/>
            <w:r w:rsidRPr="007B7F06">
              <w:rPr>
                <w:sz w:val="20"/>
                <w:szCs w:val="20"/>
              </w:rPr>
              <w:t>tablets</w:t>
            </w:r>
            <w:proofErr w:type="spellEnd"/>
            <w:r w:rsidRPr="007B7F06">
              <w:rPr>
                <w:sz w:val="20"/>
                <w:szCs w:val="20"/>
              </w:rPr>
              <w:t xml:space="preserve"> com chip/</w:t>
            </w:r>
            <w:proofErr w:type="spellStart"/>
            <w:r w:rsidRPr="007B7F06">
              <w:rPr>
                <w:sz w:val="20"/>
                <w:szCs w:val="20"/>
              </w:rPr>
              <w:t>geolocalização</w:t>
            </w:r>
            <w:proofErr w:type="spellEnd"/>
          </w:p>
        </w:tc>
        <w:tc>
          <w:tcPr>
            <w:tcW w:w="77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100% dos </w:t>
            </w:r>
            <w:proofErr w:type="spellStart"/>
            <w:r w:rsidRPr="007B7F06">
              <w:rPr>
                <w:sz w:val="20"/>
                <w:szCs w:val="20"/>
              </w:rPr>
              <w:t>tablets</w:t>
            </w:r>
            <w:proofErr w:type="spellEnd"/>
            <w:r w:rsidRPr="007B7F06">
              <w:rPr>
                <w:sz w:val="20"/>
                <w:szCs w:val="20"/>
              </w:rPr>
              <w:t xml:space="preserve"> com chip e </w:t>
            </w:r>
            <w:proofErr w:type="spellStart"/>
            <w:r w:rsidRPr="007B7F06">
              <w:rPr>
                <w:sz w:val="20"/>
                <w:szCs w:val="20"/>
              </w:rPr>
              <w:t>geolocalização</w:t>
            </w:r>
            <w:proofErr w:type="spellEnd"/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63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Aumento do número de computadores para os ACS nas atividades internas.</w:t>
            </w:r>
          </w:p>
        </w:tc>
        <w:tc>
          <w:tcPr>
            <w:tcW w:w="1163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Número insuficiente de computadores (716)</w:t>
            </w:r>
          </w:p>
        </w:tc>
        <w:tc>
          <w:tcPr>
            <w:tcW w:w="106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Razão de computadores por ACS em cada UBS</w:t>
            </w:r>
          </w:p>
        </w:tc>
        <w:tc>
          <w:tcPr>
            <w:tcW w:w="77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Adequar o número de computadores à demanda de cada UBS</w:t>
            </w:r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Longo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GESTÃO LOCAL: Gerente da Unidade</w:t>
            </w:r>
          </w:p>
        </w:tc>
      </w:tr>
      <w:tr w:rsidR="00836D65" w:rsidRPr="007B7F06" w:rsidTr="00FD5643">
        <w:tc>
          <w:tcPr>
            <w:tcW w:w="1563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Reorganizar o layout interno para garantir espaço fixo para o ACS.</w:t>
            </w:r>
          </w:p>
        </w:tc>
        <w:tc>
          <w:tcPr>
            <w:tcW w:w="1163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Inadequação de espaço físico (234)</w:t>
            </w:r>
          </w:p>
        </w:tc>
        <w:tc>
          <w:tcPr>
            <w:tcW w:w="106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% de UBS com espaço fixo do ACS garantido por reorganização interna</w:t>
            </w:r>
          </w:p>
        </w:tc>
        <w:tc>
          <w:tcPr>
            <w:tcW w:w="77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Espaço fixo garantido nas UBS que comportam reorganização; UBS que exijam </w:t>
            </w:r>
            <w:proofErr w:type="gramStart"/>
            <w:r w:rsidRPr="007B7F06">
              <w:rPr>
                <w:sz w:val="20"/>
                <w:szCs w:val="20"/>
              </w:rPr>
              <w:t>reforma encaminhadas para adequação estrutural</w:t>
            </w:r>
            <w:proofErr w:type="gramEnd"/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563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Criar escala de uso dos computadores.</w:t>
            </w:r>
          </w:p>
        </w:tc>
        <w:tc>
          <w:tcPr>
            <w:tcW w:w="1163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Número insuficiente de computadores (716)</w:t>
            </w:r>
          </w:p>
        </w:tc>
        <w:tc>
          <w:tcPr>
            <w:tcW w:w="1067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Escala implantada</w:t>
            </w:r>
          </w:p>
        </w:tc>
        <w:tc>
          <w:tcPr>
            <w:tcW w:w="772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Escala de </w:t>
            </w:r>
            <w:proofErr w:type="gramStart"/>
            <w:r w:rsidRPr="007B7F06">
              <w:rPr>
                <w:sz w:val="20"/>
                <w:szCs w:val="20"/>
              </w:rPr>
              <w:t>uso implantada em 100% das UBS</w:t>
            </w:r>
            <w:proofErr w:type="gramEnd"/>
          </w:p>
        </w:tc>
        <w:tc>
          <w:tcPr>
            <w:tcW w:w="4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Curto</w:t>
            </w:r>
          </w:p>
        </w:tc>
      </w:tr>
    </w:tbl>
    <w:p w:rsidR="00836D65" w:rsidRPr="007B7F06" w:rsidRDefault="00836D65" w:rsidP="00836D65">
      <w:pPr>
        <w:pBdr>
          <w:bottom w:val="single" w:sz="12" w:space="4" w:color="000000"/>
        </w:pBdr>
        <w:rPr>
          <w:b/>
          <w:bCs/>
          <w:szCs w:val="24"/>
        </w:rPr>
        <w:sectPr w:rsidR="00836D65" w:rsidRPr="007B7F06" w:rsidSect="00310586">
          <w:pgSz w:w="11900" w:h="16840"/>
          <w:pgMar w:top="1701" w:right="1418" w:bottom="1701" w:left="1701" w:header="1134" w:footer="181" w:gutter="0"/>
          <w:cols w:space="720"/>
          <w:docGrid w:linePitch="326"/>
        </w:sectPr>
      </w:pPr>
    </w:p>
    <w:p w:rsidR="00836D65" w:rsidRPr="007B7F06" w:rsidRDefault="00836D65" w:rsidP="00836D65">
      <w:pPr>
        <w:pBdr>
          <w:bottom w:val="single" w:sz="12" w:space="4" w:color="000000"/>
        </w:pBdr>
        <w:rPr>
          <w:szCs w:val="24"/>
        </w:rPr>
      </w:pPr>
      <w:r w:rsidRPr="007B7F06">
        <w:rPr>
          <w:b/>
          <w:bCs/>
          <w:szCs w:val="24"/>
        </w:rPr>
        <w:lastRenderedPageBreak/>
        <w:t xml:space="preserve">EIXO </w:t>
      </w:r>
      <w:proofErr w:type="gramStart"/>
      <w:r w:rsidRPr="007B7F06">
        <w:rPr>
          <w:b/>
          <w:bCs/>
          <w:szCs w:val="24"/>
        </w:rPr>
        <w:t>6</w:t>
      </w:r>
      <w:proofErr w:type="gramEnd"/>
      <w:r w:rsidRPr="007B7F06">
        <w:rPr>
          <w:b/>
          <w:bCs/>
          <w:szCs w:val="24"/>
        </w:rPr>
        <w:t>: Organização do Processo de trabalho</w:t>
      </w:r>
    </w:p>
    <w:p w:rsidR="00836D65" w:rsidRPr="007B7F06" w:rsidRDefault="00836D65" w:rsidP="00836D65">
      <w:pPr>
        <w:rPr>
          <w:szCs w:val="24"/>
        </w:rPr>
      </w:pPr>
      <w:r w:rsidRPr="007B7F06">
        <w:rPr>
          <w:szCs w:val="24"/>
        </w:rPr>
        <w:t>A regularidade do cadastramento depende de rotinas claras, supervisão próxima e espaços periódicos de alinhamento entre enfermeiros e ACS. Na literatura, as fragilidades de comunicação e acompanhamento das equipes aparecem como barreiras recorrentes à continuidade e à qualidade dos registros. As poucas reuniões de alinhamento foram, na análise SWOT, a fraqueza mais citada pelas equipes (</w:t>
      </w:r>
      <w:proofErr w:type="gramStart"/>
      <w:r w:rsidRPr="007B7F06">
        <w:rPr>
          <w:szCs w:val="24"/>
        </w:rPr>
        <w:t>5</w:t>
      </w:r>
      <w:proofErr w:type="gramEnd"/>
      <w:r w:rsidRPr="007B7F06">
        <w:rPr>
          <w:szCs w:val="24"/>
        </w:rPr>
        <w:t xml:space="preserve"> menções), aspecto que o Diagrama de </w:t>
      </w:r>
      <w:proofErr w:type="spellStart"/>
      <w:r w:rsidRPr="007B7F06">
        <w:rPr>
          <w:szCs w:val="24"/>
        </w:rPr>
        <w:t>Ishikawa</w:t>
      </w:r>
      <w:proofErr w:type="spellEnd"/>
      <w:r w:rsidRPr="007B7F06">
        <w:rPr>
          <w:szCs w:val="24"/>
        </w:rPr>
        <w:t xml:space="preserve"> situou no ramo de organização do processo de trabalho. A fragilidade da comunicação na equipe voltou a aparecer nas respostas abertas, com o pedido explícito de reuniões mensais e de maior articulação entre enfermeiro e ACS. No distrito, essa lacuna também se expressa de forma objetiva: três em cada quatro ACS relataram não participar das reuniões da </w:t>
      </w:r>
      <w:proofErr w:type="spellStart"/>
      <w:proofErr w:type="gramStart"/>
      <w:r w:rsidRPr="007B7F06">
        <w:rPr>
          <w:szCs w:val="24"/>
        </w:rPr>
        <w:t>eSF</w:t>
      </w:r>
      <w:proofErr w:type="spellEnd"/>
      <w:proofErr w:type="gramEnd"/>
      <w:r w:rsidRPr="007B7F06">
        <w:rPr>
          <w:szCs w:val="24"/>
        </w:rPr>
        <w:t>, e mais da metade informou não se reunir com o enfermeiro. Esse cenário se relaciona aos 266 pontos atribuídos, na matriz GUT, à escassez de reuniões de alinhamento e aos 202 pontos referentes às falhas de comunicação interna. Ao organizar a supervisão, os encontros de equipe e as rotas de visita, este eixo busca dar sustentação ao trabalho cotidiano e favorecer a continuidade do cadastramento ao longo do tempo.</w:t>
      </w:r>
    </w:p>
    <w:p w:rsidR="00836D65" w:rsidRPr="007B7F06" w:rsidRDefault="00836D65" w:rsidP="00836D6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324"/>
        <w:gridCol w:w="1986"/>
        <w:gridCol w:w="2475"/>
        <w:gridCol w:w="1294"/>
        <w:gridCol w:w="722"/>
      </w:tblGrid>
      <w:tr w:rsidR="00836D65" w:rsidRPr="007B7F06" w:rsidTr="00FD5643">
        <w:trPr>
          <w:tblHeader/>
        </w:trPr>
        <w:tc>
          <w:tcPr>
            <w:tcW w:w="1321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1128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Nó crítico (GUT)</w:t>
            </w:r>
          </w:p>
        </w:tc>
        <w:tc>
          <w:tcPr>
            <w:tcW w:w="1406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735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410" w:type="pct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Prazo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GESTÃO MUNICIPAL: Secretaria Municipal de Saúde - Contagem-MG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Implantação e discussão do Manual do ACS elaborado pela Diretoria de Atenção Básica do município.</w:t>
            </w:r>
          </w:p>
        </w:tc>
        <w:tc>
          <w:tcPr>
            <w:tcW w:w="112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Compreensão insuficiente do enfermeiro sobre o processo do ACS (125)</w:t>
            </w:r>
          </w:p>
        </w:tc>
        <w:tc>
          <w:tcPr>
            <w:tcW w:w="140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Manual implantado e discutido</w:t>
            </w:r>
          </w:p>
        </w:tc>
        <w:tc>
          <w:tcPr>
            <w:tcW w:w="7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100% das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</w:p>
        </w:tc>
        <w:tc>
          <w:tcPr>
            <w:tcW w:w="41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Elaborar nota técnica sobre a supervisão dos ACS pelo enfermeiro.</w:t>
            </w:r>
          </w:p>
        </w:tc>
        <w:tc>
          <w:tcPr>
            <w:tcW w:w="112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Compreensão insuficiente (125)</w:t>
            </w:r>
          </w:p>
        </w:tc>
        <w:tc>
          <w:tcPr>
            <w:tcW w:w="140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Nota técnica publicada</w:t>
            </w:r>
          </w:p>
        </w:tc>
        <w:tc>
          <w:tcPr>
            <w:tcW w:w="7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Supervisão do ACS normatizada por nota técnica</w:t>
            </w:r>
          </w:p>
        </w:tc>
        <w:tc>
          <w:tcPr>
            <w:tcW w:w="41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Curto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Atualizar e rediscutir a Carteira de Serviços da APS do SUS Contagem, com ênfase na reunião de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>.</w:t>
            </w:r>
          </w:p>
        </w:tc>
        <w:tc>
          <w:tcPr>
            <w:tcW w:w="112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Poucas reuniões de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(266)</w:t>
            </w:r>
          </w:p>
        </w:tc>
        <w:tc>
          <w:tcPr>
            <w:tcW w:w="140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Carteira revisada com as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</w:p>
        </w:tc>
        <w:tc>
          <w:tcPr>
            <w:tcW w:w="7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Revisão da carteira de serviços concluída com as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</w:p>
        </w:tc>
        <w:tc>
          <w:tcPr>
            <w:tcW w:w="41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Elaborar nota técnica sobre reunião de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para avaliação de relatórios do </w:t>
            </w:r>
            <w:proofErr w:type="spellStart"/>
            <w:r w:rsidRPr="007B7F06">
              <w:rPr>
                <w:sz w:val="20"/>
                <w:szCs w:val="20"/>
              </w:rPr>
              <w:t>e-SUS</w:t>
            </w:r>
            <w:proofErr w:type="spellEnd"/>
            <w:r w:rsidRPr="007B7F06">
              <w:rPr>
                <w:sz w:val="20"/>
                <w:szCs w:val="20"/>
              </w:rPr>
              <w:t>, com periodicidade mínima.</w:t>
            </w:r>
          </w:p>
        </w:tc>
        <w:tc>
          <w:tcPr>
            <w:tcW w:w="112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Poucas reuniões de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(266)</w:t>
            </w:r>
          </w:p>
        </w:tc>
        <w:tc>
          <w:tcPr>
            <w:tcW w:w="140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Nota técnica publicada; periodicidade definida</w:t>
            </w:r>
          </w:p>
        </w:tc>
        <w:tc>
          <w:tcPr>
            <w:tcW w:w="7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Periodicidade mínima das reuniões de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estabelecida</w:t>
            </w:r>
          </w:p>
        </w:tc>
        <w:tc>
          <w:tcPr>
            <w:tcW w:w="41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Curto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Sistematizar </w:t>
            </w:r>
            <w:proofErr w:type="gramStart"/>
            <w:r w:rsidRPr="007B7F06">
              <w:rPr>
                <w:sz w:val="20"/>
                <w:szCs w:val="20"/>
              </w:rPr>
              <w:t>1</w:t>
            </w:r>
            <w:proofErr w:type="gramEnd"/>
            <w:r w:rsidRPr="007B7F06">
              <w:rPr>
                <w:sz w:val="20"/>
                <w:szCs w:val="20"/>
              </w:rPr>
              <w:t xml:space="preserve"> (uma) reunião mensal de supervisão do ACS, com discussão dos relatórios do </w:t>
            </w:r>
            <w:proofErr w:type="spellStart"/>
            <w:r w:rsidRPr="007B7F06">
              <w:rPr>
                <w:sz w:val="20"/>
                <w:szCs w:val="20"/>
              </w:rPr>
              <w:lastRenderedPageBreak/>
              <w:t>e-SUS</w:t>
            </w:r>
            <w:proofErr w:type="spellEnd"/>
            <w:r w:rsidRPr="007B7F06">
              <w:rPr>
                <w:sz w:val="20"/>
                <w:szCs w:val="20"/>
              </w:rPr>
              <w:t>.</w:t>
            </w:r>
          </w:p>
        </w:tc>
        <w:tc>
          <w:tcPr>
            <w:tcW w:w="112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lastRenderedPageBreak/>
              <w:t xml:space="preserve">Poucas reuniões de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(266)</w:t>
            </w:r>
          </w:p>
        </w:tc>
        <w:tc>
          <w:tcPr>
            <w:tcW w:w="140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Número de</w:t>
            </w:r>
            <w:r w:rsidRPr="007B7F06">
              <w:rPr>
                <w:sz w:val="20"/>
                <w:szCs w:val="20"/>
              </w:rPr>
              <w:t xml:space="preserve"> reuniões por mês em cada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</w:p>
        </w:tc>
        <w:tc>
          <w:tcPr>
            <w:tcW w:w="7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Pelo menos </w:t>
            </w:r>
            <w:proofErr w:type="gramStart"/>
            <w:r w:rsidRPr="007B7F06">
              <w:rPr>
                <w:sz w:val="20"/>
                <w:szCs w:val="20"/>
              </w:rPr>
              <w:t>1</w:t>
            </w:r>
            <w:proofErr w:type="gramEnd"/>
            <w:r w:rsidRPr="007B7F06">
              <w:rPr>
                <w:sz w:val="20"/>
                <w:szCs w:val="20"/>
              </w:rPr>
              <w:t xml:space="preserve"> reunião de supervisão por mês em cada </w:t>
            </w:r>
            <w:proofErr w:type="spellStart"/>
            <w:r w:rsidRPr="007B7F06">
              <w:rPr>
                <w:sz w:val="20"/>
                <w:szCs w:val="20"/>
              </w:rPr>
              <w:lastRenderedPageBreak/>
              <w:t>eSF</w:t>
            </w:r>
            <w:proofErr w:type="spellEnd"/>
          </w:p>
        </w:tc>
        <w:tc>
          <w:tcPr>
            <w:tcW w:w="41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lastRenderedPageBreak/>
              <w:t>Curto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lastRenderedPageBreak/>
              <w:t>Elaborar nota técnica sobre o planejamento de rota de visitas domiciliares pelo ACS.</w:t>
            </w:r>
          </w:p>
        </w:tc>
        <w:tc>
          <w:tcPr>
            <w:tcW w:w="112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Planejamento de visitas inadequado (53)</w:t>
            </w:r>
          </w:p>
        </w:tc>
        <w:tc>
          <w:tcPr>
            <w:tcW w:w="140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Nota técnica publicada</w:t>
            </w:r>
          </w:p>
        </w:tc>
        <w:tc>
          <w:tcPr>
            <w:tcW w:w="7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Planejamento da rota de visitas normatizado por nota técnica</w:t>
            </w:r>
          </w:p>
        </w:tc>
        <w:tc>
          <w:tcPr>
            <w:tcW w:w="41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Curto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B646D0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B646D0">
              <w:rPr>
                <w:sz w:val="20"/>
                <w:szCs w:val="20"/>
              </w:rPr>
              <w:t>Sistematizar e planejar a rota de visitas domiciliares dos ACS conforme prioridade e vulnerabilidade.</w:t>
            </w:r>
          </w:p>
        </w:tc>
        <w:tc>
          <w:tcPr>
            <w:tcW w:w="1128" w:type="pct"/>
          </w:tcPr>
          <w:p w:rsidR="00836D65" w:rsidRPr="00B646D0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646D0">
              <w:rPr>
                <w:sz w:val="20"/>
                <w:szCs w:val="20"/>
              </w:rPr>
              <w:t>Planejamento de visitas inadequado (53)</w:t>
            </w:r>
          </w:p>
        </w:tc>
        <w:tc>
          <w:tcPr>
            <w:tcW w:w="1406" w:type="pct"/>
          </w:tcPr>
          <w:p w:rsidR="00836D65" w:rsidRPr="00B646D0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646D0">
              <w:rPr>
                <w:sz w:val="20"/>
                <w:szCs w:val="20"/>
              </w:rPr>
              <w:t xml:space="preserve">% de usuários prioritários com visita </w:t>
            </w:r>
            <w:proofErr w:type="gramStart"/>
            <w:r w:rsidRPr="00B646D0">
              <w:rPr>
                <w:sz w:val="20"/>
                <w:szCs w:val="20"/>
              </w:rPr>
              <w:t>domiciliar</w:t>
            </w:r>
            <w:proofErr w:type="gramEnd"/>
            <w:r w:rsidRPr="00B646D0">
              <w:rPr>
                <w:sz w:val="20"/>
                <w:szCs w:val="20"/>
              </w:rPr>
              <w:t xml:space="preserve"> dentro da periodicidade definida por risco</w:t>
            </w:r>
          </w:p>
        </w:tc>
        <w:tc>
          <w:tcPr>
            <w:tcW w:w="735" w:type="pct"/>
          </w:tcPr>
          <w:p w:rsidR="00836D65" w:rsidRPr="00B646D0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646D0">
              <w:rPr>
                <w:sz w:val="20"/>
                <w:szCs w:val="20"/>
              </w:rPr>
              <w:t>Garantir visitas regulares ao usuário conforme prioridade e vulnerabilidade</w:t>
            </w:r>
          </w:p>
        </w:tc>
        <w:tc>
          <w:tcPr>
            <w:tcW w:w="410" w:type="pct"/>
          </w:tcPr>
          <w:p w:rsidR="00836D65" w:rsidRPr="00B646D0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646D0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B646D0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646D0">
              <w:rPr>
                <w:b/>
                <w:bCs/>
                <w:sz w:val="20"/>
                <w:szCs w:val="20"/>
              </w:rPr>
              <w:t>GESTÃO DISTRITAL: DS Saúde Vargem das Flores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Estimular o trabalho cooperativo entre ACS da mesma e de outras UBS, com intermediação dos gerentes.</w:t>
            </w:r>
          </w:p>
        </w:tc>
        <w:tc>
          <w:tcPr>
            <w:tcW w:w="112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Falta de comunicação entre a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(202)</w:t>
            </w:r>
          </w:p>
        </w:tc>
        <w:tc>
          <w:tcPr>
            <w:tcW w:w="140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% de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com cooperação ativa entre ACS, intermediada pelos gerentes</w:t>
            </w:r>
          </w:p>
        </w:tc>
        <w:tc>
          <w:tcPr>
            <w:tcW w:w="7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100% das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com cooperação ativa</w:t>
            </w:r>
          </w:p>
        </w:tc>
        <w:tc>
          <w:tcPr>
            <w:tcW w:w="41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5000" w:type="pct"/>
            <w:gridSpan w:val="5"/>
            <w:shd w:val="clear" w:color="auto" w:fill="BFBFBF" w:themeFill="background1" w:themeFillShade="BF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b/>
                <w:bCs/>
                <w:sz w:val="20"/>
                <w:szCs w:val="20"/>
              </w:rPr>
              <w:t>GESTÃO LOCAL: Gerente da Unidade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Alinhar as informações de funcionamento das UBS/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e os fluxos de serviços.</w:t>
            </w:r>
          </w:p>
        </w:tc>
        <w:tc>
          <w:tcPr>
            <w:tcW w:w="112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Falta de comunicação (202)</w:t>
            </w:r>
          </w:p>
        </w:tc>
        <w:tc>
          <w:tcPr>
            <w:tcW w:w="140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% de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com fluxos pactuados</w:t>
            </w:r>
          </w:p>
        </w:tc>
        <w:tc>
          <w:tcPr>
            <w:tcW w:w="7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100% das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 xml:space="preserve"> com fluxos de serviço pactuados</w:t>
            </w:r>
          </w:p>
        </w:tc>
        <w:tc>
          <w:tcPr>
            <w:tcW w:w="41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Elaborar mapa inteligente da área de abrangência e identificar os grupos prioritários para VD.</w:t>
            </w:r>
          </w:p>
        </w:tc>
        <w:tc>
          <w:tcPr>
            <w:tcW w:w="112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Priorização do território (313)</w:t>
            </w:r>
          </w:p>
        </w:tc>
        <w:tc>
          <w:tcPr>
            <w:tcW w:w="140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Mapa inteligente elaborado por UBS</w:t>
            </w:r>
          </w:p>
        </w:tc>
        <w:tc>
          <w:tcPr>
            <w:tcW w:w="7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Mapa concluído em 100% das UBS</w:t>
            </w:r>
          </w:p>
        </w:tc>
        <w:tc>
          <w:tcPr>
            <w:tcW w:w="41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  <w:tr w:rsidR="00836D65" w:rsidRPr="007B7F06" w:rsidTr="00FD5643">
        <w:tc>
          <w:tcPr>
            <w:tcW w:w="1321" w:type="pct"/>
          </w:tcPr>
          <w:p w:rsidR="00836D65" w:rsidRPr="007B7F06" w:rsidRDefault="00836D65" w:rsidP="00FD5643">
            <w:pPr>
              <w:spacing w:line="240" w:lineRule="auto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Organizar as agendas (enfermeiro, ACS e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  <w:r w:rsidRPr="007B7F06">
              <w:rPr>
                <w:sz w:val="20"/>
                <w:szCs w:val="20"/>
              </w:rPr>
              <w:t>) para acompanhamento e monitoramento do trabalho do ACS.</w:t>
            </w:r>
          </w:p>
        </w:tc>
        <w:tc>
          <w:tcPr>
            <w:tcW w:w="1128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Supervisão/reuniões insuficientes (266)</w:t>
            </w:r>
          </w:p>
        </w:tc>
        <w:tc>
          <w:tcPr>
            <w:tcW w:w="1406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Agenda protegida para supervisão</w:t>
            </w:r>
          </w:p>
        </w:tc>
        <w:tc>
          <w:tcPr>
            <w:tcW w:w="735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 xml:space="preserve">Agenda de supervisão protegida em 100% das </w:t>
            </w:r>
            <w:proofErr w:type="spellStart"/>
            <w:proofErr w:type="gramStart"/>
            <w:r w:rsidRPr="007B7F06">
              <w:rPr>
                <w:sz w:val="20"/>
                <w:szCs w:val="20"/>
              </w:rPr>
              <w:t>eSF</w:t>
            </w:r>
            <w:proofErr w:type="spellEnd"/>
            <w:proofErr w:type="gramEnd"/>
          </w:p>
        </w:tc>
        <w:tc>
          <w:tcPr>
            <w:tcW w:w="410" w:type="pct"/>
          </w:tcPr>
          <w:p w:rsidR="00836D65" w:rsidRPr="007B7F06" w:rsidRDefault="00836D65" w:rsidP="00FD56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B7F06">
              <w:rPr>
                <w:sz w:val="20"/>
                <w:szCs w:val="20"/>
              </w:rPr>
              <w:t>Médio</w:t>
            </w:r>
          </w:p>
        </w:tc>
      </w:tr>
    </w:tbl>
    <w:p w:rsidR="00836D65" w:rsidRPr="007B7F06" w:rsidRDefault="00836D65" w:rsidP="00836D65">
      <w:pPr>
        <w:rPr>
          <w:b/>
        </w:rPr>
        <w:sectPr w:rsidR="00836D65" w:rsidRPr="007B7F06" w:rsidSect="00310586">
          <w:pgSz w:w="11900" w:h="16840"/>
          <w:pgMar w:top="1701" w:right="1418" w:bottom="1701" w:left="1701" w:header="1134" w:footer="181" w:gutter="0"/>
          <w:cols w:space="720"/>
          <w:docGrid w:linePitch="326"/>
        </w:sectPr>
      </w:pPr>
    </w:p>
    <w:p w:rsidR="00836D65" w:rsidRPr="007B7F06" w:rsidRDefault="00836D65" w:rsidP="00836D65">
      <w:r w:rsidRPr="007B7F06">
        <w:rPr>
          <w:b/>
        </w:rPr>
        <w:lastRenderedPageBreak/>
        <w:t>CONSIDERAÇÕES FINAIS E EXPECTATIVAS</w:t>
      </w:r>
    </w:p>
    <w:p w:rsidR="00836D65" w:rsidRPr="007B7F06" w:rsidRDefault="00836D65" w:rsidP="00836D65"/>
    <w:p w:rsidR="00836D65" w:rsidRPr="007B7F06" w:rsidRDefault="00836D65" w:rsidP="00836D65">
      <w:r w:rsidRPr="007B7F06">
        <w:tab/>
        <w:t xml:space="preserve">Este plano consolida, em um instrumento único, o conjunto de ações derivadas do diagnóstico situacional e da priorização realizada pelas </w:t>
      </w:r>
      <w:proofErr w:type="spellStart"/>
      <w:proofErr w:type="gramStart"/>
      <w:r w:rsidRPr="007B7F06">
        <w:t>eSF</w:t>
      </w:r>
      <w:proofErr w:type="spellEnd"/>
      <w:proofErr w:type="gramEnd"/>
      <w:r w:rsidRPr="007B7F06">
        <w:t xml:space="preserve">, organizadas por eixo causal e por nível de governabilidade. A vinculação de cada ação a um nó crítico, a um responsável e a um indicador confere </w:t>
      </w:r>
      <w:proofErr w:type="spellStart"/>
      <w:r w:rsidRPr="007B7F06">
        <w:t>rastreabilidade</w:t>
      </w:r>
      <w:proofErr w:type="spellEnd"/>
      <w:r w:rsidRPr="007B7F06">
        <w:t xml:space="preserve"> ao produto e viabiliza o acompanhamento sistemático de sua execução.</w:t>
      </w:r>
    </w:p>
    <w:p w:rsidR="00836D65" w:rsidRPr="007B7F06" w:rsidRDefault="00836D65" w:rsidP="00836D65">
      <w:r w:rsidRPr="007B7F06">
        <w:tab/>
        <w:t xml:space="preserve">Sua implantação tende a elevar a completude e a atualização do cadastramento domiciliar e individual no </w:t>
      </w:r>
      <w:proofErr w:type="spellStart"/>
      <w:proofErr w:type="gramStart"/>
      <w:r w:rsidRPr="007B7F06">
        <w:rPr>
          <w:szCs w:val="24"/>
        </w:rPr>
        <w:t>DS</w:t>
      </w:r>
      <w:r w:rsidRPr="007B7F06">
        <w:t>Vargem</w:t>
      </w:r>
      <w:proofErr w:type="spellEnd"/>
      <w:proofErr w:type="gramEnd"/>
      <w:r w:rsidRPr="007B7F06">
        <w:t xml:space="preserve"> das Flores, reduzir o retrabalho associado a inconsistências e a falhas de migração entre sistemas e ampliar o uso dos dados no planejamento das ações de saúde. Os indicadores definidos em cada eixo estabelecem parâmetros objetivos de acompanhamento e operacionalizam a etapa de controle do ciclo de melhoria.</w:t>
      </w:r>
    </w:p>
    <w:p w:rsidR="00836D65" w:rsidRPr="007B7F06" w:rsidRDefault="00836D65" w:rsidP="00836D65">
      <w:r w:rsidRPr="007B7F06">
        <w:tab/>
        <w:t xml:space="preserve">A efetivação do plano está condicionada à </w:t>
      </w:r>
      <w:proofErr w:type="spellStart"/>
      <w:r w:rsidRPr="007B7F06">
        <w:t>pactuação</w:t>
      </w:r>
      <w:proofErr w:type="spellEnd"/>
      <w:r w:rsidRPr="007B7F06">
        <w:t xml:space="preserve"> das metas e dos prazos com a gestão e ao monitoramento contínuo dos indicadores, com base nos relatórios gerenciais do </w:t>
      </w:r>
      <w:proofErr w:type="spellStart"/>
      <w:r w:rsidRPr="007B7F06">
        <w:t>e-SUS</w:t>
      </w:r>
      <w:proofErr w:type="spellEnd"/>
      <w:r w:rsidRPr="007B7F06">
        <w:t xml:space="preserve"> APS. Revisões periódicas permitirão ajustar metas e prazos e incorporar novas prioridades à medida que os primeiros gargalos forem superados. Por partir de nós críticos comuns à Atenção Primária, o percurso metodológico aqui adotado pode, ainda, inspirar iniciativas semelhantes em outros territórios.</w:t>
      </w:r>
    </w:p>
    <w:p w:rsidR="005E0255" w:rsidRPr="005E0255" w:rsidRDefault="005E0255">
      <w:pPr>
        <w:rPr>
          <w:rFonts w:ascii="Times New Roman" w:hAnsi="Times New Roman" w:cs="Times New Roman"/>
        </w:rPr>
      </w:pPr>
    </w:p>
    <w:p w:rsidR="00FA4F53" w:rsidRDefault="00FA4F53"/>
    <w:sectPr w:rsidR="00FA4F53" w:rsidSect="00FA4F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D0949"/>
    <w:multiLevelType w:val="hybridMultilevel"/>
    <w:tmpl w:val="141CC0B2"/>
    <w:lvl w:ilvl="0" w:tplc="A198ED9A">
      <w:start w:val="1"/>
      <w:numFmt w:val="bullet"/>
      <w:lvlText w:val="●"/>
      <w:lvlJc w:val="left"/>
      <w:pPr>
        <w:ind w:left="720" w:hanging="360"/>
      </w:pPr>
    </w:lvl>
    <w:lvl w:ilvl="1" w:tplc="C3F065D0">
      <w:start w:val="1"/>
      <w:numFmt w:val="bullet"/>
      <w:lvlText w:val="○"/>
      <w:lvlJc w:val="left"/>
      <w:pPr>
        <w:ind w:left="1440" w:hanging="360"/>
      </w:pPr>
    </w:lvl>
    <w:lvl w:ilvl="2" w:tplc="7C2C1E5A">
      <w:start w:val="1"/>
      <w:numFmt w:val="bullet"/>
      <w:lvlText w:val="■"/>
      <w:lvlJc w:val="left"/>
      <w:pPr>
        <w:ind w:left="2160" w:hanging="360"/>
      </w:pPr>
    </w:lvl>
    <w:lvl w:ilvl="3" w:tplc="B65C79A2">
      <w:start w:val="1"/>
      <w:numFmt w:val="bullet"/>
      <w:lvlText w:val="●"/>
      <w:lvlJc w:val="left"/>
      <w:pPr>
        <w:ind w:left="2880" w:hanging="360"/>
      </w:pPr>
    </w:lvl>
    <w:lvl w:ilvl="4" w:tplc="BEA08EB2">
      <w:start w:val="1"/>
      <w:numFmt w:val="bullet"/>
      <w:lvlText w:val="○"/>
      <w:lvlJc w:val="left"/>
      <w:pPr>
        <w:ind w:left="3600" w:hanging="360"/>
      </w:pPr>
    </w:lvl>
    <w:lvl w:ilvl="5" w:tplc="CB96C258">
      <w:start w:val="1"/>
      <w:numFmt w:val="bullet"/>
      <w:lvlText w:val="■"/>
      <w:lvlJc w:val="left"/>
      <w:pPr>
        <w:ind w:left="4320" w:hanging="360"/>
      </w:pPr>
    </w:lvl>
    <w:lvl w:ilvl="6" w:tplc="5AD02F3A">
      <w:start w:val="1"/>
      <w:numFmt w:val="bullet"/>
      <w:lvlText w:val="●"/>
      <w:lvlJc w:val="left"/>
      <w:pPr>
        <w:ind w:left="5040" w:hanging="360"/>
      </w:pPr>
    </w:lvl>
    <w:lvl w:ilvl="7" w:tplc="341EE58A">
      <w:start w:val="1"/>
      <w:numFmt w:val="bullet"/>
      <w:lvlText w:val="●"/>
      <w:lvlJc w:val="left"/>
      <w:pPr>
        <w:ind w:left="5760" w:hanging="360"/>
      </w:pPr>
    </w:lvl>
    <w:lvl w:ilvl="8" w:tplc="9FFE3C6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E0255"/>
    <w:rsid w:val="000D072A"/>
    <w:rsid w:val="00267B39"/>
    <w:rsid w:val="005E0255"/>
    <w:rsid w:val="00690311"/>
    <w:rsid w:val="00836D65"/>
    <w:rsid w:val="00FA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F53"/>
  </w:style>
  <w:style w:type="paragraph" w:styleId="Ttulo1">
    <w:name w:val="heading 1"/>
    <w:basedOn w:val="Normal"/>
    <w:link w:val="Ttulo1Char"/>
    <w:uiPriority w:val="9"/>
    <w:qFormat/>
    <w:rsid w:val="005E0255"/>
    <w:pPr>
      <w:spacing w:after="0" w:line="360" w:lineRule="auto"/>
      <w:ind w:firstLine="709"/>
      <w:outlineLvl w:val="0"/>
    </w:pPr>
    <w:rPr>
      <w:rFonts w:ascii="Times New Roman" w:eastAsia="Times New Roman" w:hAnsi="Times New Roman" w:cs="Times New Roman"/>
      <w:b/>
      <w:bCs/>
      <w:color w:val="000000" w:themeColor="text1"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25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5E0255"/>
    <w:rPr>
      <w:rFonts w:ascii="Times New Roman" w:eastAsia="Times New Roman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E0255"/>
    <w:pPr>
      <w:spacing w:after="0" w:line="360" w:lineRule="auto"/>
      <w:ind w:left="140" w:firstLine="709"/>
      <w:jc w:val="both"/>
    </w:pPr>
    <w:rPr>
      <w:rFonts w:ascii="Times New Roman" w:eastAsia="Times New Roman" w:hAnsi="Times New Roman" w:cs="Times New Roman"/>
      <w:color w:val="000000" w:themeColor="text1"/>
      <w:sz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4237</Words>
  <Characters>22884</Characters>
  <Application>Microsoft Office Word</Application>
  <DocSecurity>0</DocSecurity>
  <Lines>190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150382</dc:creator>
  <cp:lastModifiedBy>150382</cp:lastModifiedBy>
  <cp:revision>1</cp:revision>
  <dcterms:created xsi:type="dcterms:W3CDTF">2026-07-30T13:30:00Z</dcterms:created>
  <dcterms:modified xsi:type="dcterms:W3CDTF">2026-07-30T14:28:00Z</dcterms:modified>
</cp:coreProperties>
</file>