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rFonts w:ascii="Ink Free" w:hAnsi="Ink Free"/>
          <w:b/>
        </w:rPr>
      </w:pPr>
      <w:r>
        <w:rPr>
          <w:rFonts w:ascii="Ink Free" w:hAnsi="Ink Free"/>
          <w:b/>
        </w:rPr>
        <w:t>OBJETO EDUCACIONAL (OE)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highlight w:val="none"/>
          <w:shd w:fill="81ACA6" w:val="clear"/>
        </w:rPr>
      </w:pPr>
      <w:r>
        <w:rPr>
          <w:b/>
          <w:shd w:fill="81ACA6" w:val="clear"/>
        </w:rPr>
        <w:t>TÍTULO DO OBJETO EDUCACIONAL:</w:t>
      </w:r>
    </w:p>
    <w:p>
      <w:pPr>
        <w:pStyle w:val="Normal"/>
        <w:rPr>
          <w:b/>
        </w:rPr>
      </w:pPr>
      <w:r>
        <w:rPr>
          <w:b/>
          <w:i/>
          <w:iCs/>
        </w:rPr>
        <w:t>TRABALHO, CIDADANIA E ACESSIBILIDADE</w:t>
      </w:r>
    </w:p>
    <w:p>
      <w:pPr>
        <w:pStyle w:val="Normal"/>
        <w:rPr>
          <w:b/>
          <w:highlight w:val="none"/>
          <w:shd w:fill="81ACA6" w:val="clear"/>
        </w:rPr>
      </w:pPr>
      <w:r>
        <w:rPr>
          <w:b/>
          <w:shd w:fill="81ACA6" w:val="clear"/>
        </w:rPr>
        <w:t>ÁREA DO CONHECIMENTO:</w:t>
      </w:r>
    </w:p>
    <w:p>
      <w:pPr>
        <w:pStyle w:val="Normal"/>
        <w:rPr>
          <w:b/>
          <w:i/>
          <w:iCs/>
        </w:rPr>
      </w:pPr>
      <w:r>
        <w:rPr>
          <w:b/>
          <w:i/>
          <w:iCs/>
        </w:rPr>
        <w:t>DIREITOS HUMANOS/ TECNOLOGIAS ASSISTIVAS/ SOCIOLOGIA/FILOSOFIA/ PROJETO DE VIDA</w:t>
      </w:r>
    </w:p>
    <w:p>
      <w:pPr>
        <w:pStyle w:val="Normal"/>
        <w:rPr/>
      </w:pPr>
      <w:r>
        <w:rPr>
          <w:b/>
          <w:shd w:fill="81ACA6" w:val="clear"/>
        </w:rPr>
        <w:t>PÚBLICO</w:t>
      </w:r>
      <w:r>
        <w:rPr>
          <w:shd w:fill="81ACA6" w:val="clear"/>
        </w:rPr>
        <w:t>:</w:t>
      </w:r>
      <w:r>
        <w:rPr/>
        <w:t xml:space="preserve"> </w:t>
      </w:r>
      <w:r>
        <w:rPr>
          <w:b/>
          <w:bCs/>
          <w:i/>
          <w:iCs/>
        </w:rPr>
        <w:t>3º ANO DE ENSINO MÉDIO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highlight w:val="none"/>
          <w:shd w:fill="81ACA6" w:val="clear"/>
        </w:rPr>
      </w:pPr>
      <w:r>
        <w:rPr>
          <w:b/>
          <w:shd w:fill="81ACA6" w:val="clear"/>
        </w:rPr>
        <w:t>AUTOR:</w:t>
      </w:r>
    </w:p>
    <w:p>
      <w:pPr>
        <w:pStyle w:val="Normal"/>
        <w:rPr>
          <w:b/>
        </w:rPr>
      </w:pPr>
      <w:r>
        <w:rPr>
          <w:b/>
          <w:shd w:fill="FFFFFF" w:val="clear"/>
        </w:rPr>
        <w:t>Pedro Paulo Suarez Rodriguez – educador e produtor de recursos pedagógicos</w:t>
      </w:r>
      <w:r>
        <w:rPr>
          <w:b/>
          <w:bCs/>
          <w:color w:val="000000"/>
        </w:rPr>
        <w:br/>
        <w:br/>
        <w:t>Equipe interdisciplinar – Colaboração de profissionais das áreas de Educação, Museologia e Acessibilidade, garantindo diversidade de perspectivas.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none"/>
          <w:shd w:fill="81ACA6" w:val="clear"/>
        </w:rPr>
      </w:pPr>
      <w:r>
        <w:rPr>
          <w:b/>
          <w:shd w:fill="81ACA6" w:val="clear"/>
        </w:rPr>
        <w:t>FORMATO:</w:t>
      </w:r>
    </w:p>
    <w:p>
      <w:pPr>
        <w:pStyle w:val="Normal"/>
        <w:rPr>
          <w:b/>
          <w:bCs/>
          <w:color w:val="1C1C1C"/>
          <w:sz w:val="22"/>
          <w:szCs w:val="22"/>
        </w:rPr>
      </w:pPr>
      <w:r>
        <w:rPr>
          <w:b/>
          <w:bCs/>
          <w:color w:val="1C1C1C"/>
          <w:sz w:val="22"/>
          <w:szCs w:val="22"/>
        </w:rPr>
        <w:t>Guia digital interativo: documento em PDF ou e-book, com textos explicativos, infográficos e links para recursos complementares.</w:t>
        <w:br/>
        <w:br/>
        <w:t>Sequência didática modular: dividido em introdução, conteúdos conceituais, estudo de caso, atividade prática e reflexão final.</w:t>
        <w:br/>
        <w:br/>
        <w:t>Recursos multimídia: vídeos curtos, depoimentos, imagens ilustrativas e materiais acessíveis (legendas, audiodescrição, Libras).</w:t>
        <w:br/>
        <w:br/>
        <w:t>Atividades participativas: exercícios reflexivos, debates, elaboração de planos de acessibilidade e visitas técnicas.</w:t>
        <w:br/>
        <w:br/>
        <w:t>Material aberto e adaptável: disponibilizado sob licença Creative Commons, permitindo uso, remix e compartilhamento.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highlight w:val="none"/>
          <w:shd w:fill="81ACA6" w:val="clear"/>
        </w:rPr>
      </w:pPr>
      <w:r>
        <w:rPr>
          <w:b/>
          <w:shd w:fill="81ACA6" w:val="clear"/>
        </w:rPr>
        <w:t>OBJETIVO PEDAGÓGICO:</w:t>
      </w:r>
    </w:p>
    <w:p>
      <w:pPr>
        <w:pStyle w:val="Normal"/>
        <w:rPr/>
      </w:pPr>
      <w:r>
        <w:rPr/>
        <w:t xml:space="preserve"> </w:t>
      </w:r>
      <w:r>
        <w:rPr>
          <w:b/>
          <w:bCs/>
        </w:rPr>
        <w:t xml:space="preserve">   • </w:t>
      </w:r>
      <w:r>
        <w:rPr>
          <w:b/>
          <w:bCs/>
        </w:rPr>
        <w:t>Compreender os conceitos de inclusão, capacitismo e acessibilidade sob a perspectiva dos direitos humanos e da legislação brasileira (Estatuto da Pessoa com Deficiência).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  • </w:t>
      </w:r>
      <w:r>
        <w:rPr>
          <w:b/>
          <w:bCs/>
        </w:rPr>
        <w:t>Analisar o mercado de trabalho atual e as exigências de adaptação e desenho universal para a inclusão de pessoas com deficiência ou neurodivergentes.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• </w:t>
      </w:r>
      <w:r>
        <w:rPr>
          <w:b/>
          <w:bCs/>
        </w:rPr>
        <w:t>Propor soluções práticas e inovadoras para eliminar barreiras de acessibilidade em espaços físicos ou digitais do cotidiano.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highlight w:val="none"/>
          <w:shd w:fill="81ACA6" w:val="clear"/>
        </w:rPr>
      </w:pPr>
      <w:r>
        <w:rPr>
          <w:b/>
          <w:shd w:fill="81ACA6" w:val="clear"/>
        </w:rPr>
        <w:t>DESCRIÇÃO DO OBJETO EDUCACIONAL:</w:t>
      </w:r>
    </w:p>
    <w:p>
      <w:pPr>
        <w:pStyle w:val="Normal"/>
        <w:rPr>
          <w:b/>
          <w:bCs/>
          <w:color w:val="1C1C1C"/>
        </w:rPr>
      </w:pPr>
      <w:r>
        <w:rPr>
          <w:b/>
          <w:bCs/>
          <w:color w:val="1C1C1C"/>
        </w:rPr>
        <w:t>O OEA é composto por três etapas que conectam a teoria sociológica à resolução de problemas da vida real:</w:t>
      </w:r>
    </w:p>
    <w:p>
      <w:pPr>
        <w:pStyle w:val="Normal"/>
        <w:rPr>
          <w:b/>
          <w:bCs/>
          <w:i/>
          <w:iCs/>
          <w:color w:val="1C1C1C"/>
          <w:sz w:val="24"/>
          <w:szCs w:val="24"/>
          <w:highlight w:val="none"/>
          <w:shd w:fill="FFFF00" w:val="clear"/>
        </w:rPr>
      </w:pPr>
      <w:r>
        <w:rPr>
          <w:b/>
          <w:bCs/>
          <w:i/>
          <w:iCs/>
          <w:color w:val="1C1C1C"/>
          <w:sz w:val="24"/>
          <w:szCs w:val="24"/>
          <w:shd w:fill="FFFF00" w:val="clear"/>
        </w:rPr>
        <w:t>Etapa 1: Mapa Conceitual – A Evolução da Inclusão</w:t>
      </w:r>
    </w:p>
    <w:p>
      <w:pPr>
        <w:pStyle w:val="Normal"/>
        <w:rPr>
          <w:b/>
          <w:bCs/>
          <w:color w:val="1C1C1C"/>
        </w:rPr>
      </w:pPr>
      <w:r>
        <w:rPr>
          <w:b/>
          <w:bCs/>
          <w:color w:val="1C1C1C"/>
        </w:rPr>
        <w:t>Infográfico conceitual que auxilia na diferenciação entre exclusão, segregação, integração e inclusão, contextualizando historicamente a conquista de direitos.</w:t>
      </w:r>
    </w:p>
    <w:p>
      <w:pPr>
        <w:pStyle w:val="Normal"/>
        <w:rPr>
          <w:b/>
          <w:bCs/>
          <w:i/>
          <w:iCs/>
          <w:color w:val="1C1C1C"/>
          <w:sz w:val="24"/>
          <w:szCs w:val="24"/>
          <w:highlight w:val="none"/>
          <w:shd w:fill="FFFF00" w:val="clear"/>
        </w:rPr>
      </w:pPr>
      <w:r>
        <w:rPr>
          <w:b/>
          <w:bCs/>
          <w:i/>
          <w:iCs/>
          <w:color w:val="1C1C1C"/>
          <w:sz w:val="24"/>
          <w:szCs w:val="24"/>
          <w:shd w:fill="FFFF00" w:val="clear"/>
        </w:rPr>
        <w:t>Etapa 2: Estudo de Caso – O Projeto de Startup Inclusiva</w:t>
      </w:r>
    </w:p>
    <w:p>
      <w:pPr>
        <w:pStyle w:val="Normal"/>
        <w:rPr>
          <w:b/>
          <w:bCs/>
          <w:color w:val="1C1C1C"/>
        </w:rPr>
      </w:pPr>
      <w:r>
        <w:rPr>
          <w:b/>
          <w:bCs/>
          <w:color w:val="1C1C1C"/>
        </w:rPr>
        <w:t>Nesta atividade baseada em problemas (ABP), os estudantes assumem o papel de uma equipe de consultores de Recursos Gerais. O desafio é analisar o caso da TechSolutions, uma empresa fictícia que deseja se tornar 100% inclusiva para pessoas com deficiência física e visual.</w:t>
      </w:r>
    </w:p>
    <w:p>
      <w:pPr>
        <w:pStyle w:val="Normal"/>
        <w:rPr>
          <w:b/>
          <w:bCs/>
          <w:color w:val="1C1C1C"/>
        </w:rPr>
      </w:pPr>
      <w:r>
        <w:rPr>
          <w:b/>
          <w:bCs/>
          <w:color w:val="1C1C1C"/>
        </w:rPr>
        <w:t xml:space="preserve">    • </w:t>
      </w:r>
      <w:r>
        <w:rPr>
          <w:b/>
          <w:bCs/>
          <w:color w:val="1C1C1C"/>
        </w:rPr>
        <w:t>Passo a Passo da Atividade:</w:t>
      </w:r>
    </w:p>
    <w:p>
      <w:pPr>
        <w:pStyle w:val="Normal"/>
        <w:rPr>
          <w:b/>
          <w:bCs/>
          <w:color w:val="1C1C1C"/>
        </w:rPr>
      </w:pPr>
      <w:r>
        <w:rPr>
          <w:b/>
          <w:bCs/>
          <w:color w:val="1C1C1C"/>
        </w:rPr>
        <w:t xml:space="preserve">        </w:t>
      </w:r>
      <w:r>
        <w:rPr>
          <w:b/>
          <w:bCs/>
          <w:color w:val="1C1C1C"/>
        </w:rPr>
        <w:t>1. Análise do Cenário: Os alunos leem um relatório sobre o escritório da empresa (que possui degraus, banheiros sem adaptação e sites sem leitores de tela).</w:t>
      </w:r>
    </w:p>
    <w:p>
      <w:pPr>
        <w:pStyle w:val="Normal"/>
        <w:rPr>
          <w:b/>
          <w:bCs/>
          <w:color w:val="1C1C1C"/>
        </w:rPr>
      </w:pPr>
      <w:r>
        <w:rPr>
          <w:b/>
          <w:bCs/>
          <w:color w:val="1C1C1C"/>
        </w:rPr>
        <w:t xml:space="preserve">        </w:t>
      </w:r>
      <w:r>
        <w:rPr>
          <w:b/>
          <w:bCs/>
          <w:color w:val="1C1C1C"/>
        </w:rPr>
        <w:t>2. Levantamento de Soluções: Os grupos devem propor melhorias baseadas no conceito de Desenho Universal (criar produtos e ambientes para serem usados pelo maior número de pessoas possível, sem adaptações).</w:t>
      </w:r>
    </w:p>
    <w:p>
      <w:pPr>
        <w:pStyle w:val="Normal"/>
        <w:rPr>
          <w:b/>
          <w:bCs/>
          <w:color w:val="1C1C1C"/>
        </w:rPr>
      </w:pPr>
      <w:r>
        <w:rPr>
          <w:b/>
          <w:bCs/>
          <w:color w:val="1C1C1C"/>
        </w:rPr>
        <w:t xml:space="preserve">        </w:t>
      </w:r>
      <w:r>
        <w:rPr>
          <w:b/>
          <w:bCs/>
          <w:color w:val="1C1C1C"/>
        </w:rPr>
        <w:t>3. Apresentação: O resultado pode ser entregue em formato de pitch (vídeo de 3 minutos) ou slide.</w:t>
      </w:r>
    </w:p>
    <w:p>
      <w:pPr>
        <w:pStyle w:val="Normal"/>
        <w:rPr>
          <w:b/>
          <w:bCs/>
          <w:i/>
          <w:iCs/>
          <w:color w:val="1C1C1C"/>
          <w:sz w:val="24"/>
          <w:szCs w:val="24"/>
          <w:highlight w:val="none"/>
          <w:shd w:fill="FFFF00" w:val="clear"/>
        </w:rPr>
      </w:pPr>
      <w:r>
        <w:rPr>
          <w:b/>
          <w:bCs/>
          <w:i/>
          <w:iCs/>
          <w:color w:val="1C1C1C"/>
          <w:sz w:val="24"/>
          <w:szCs w:val="24"/>
          <w:shd w:fill="FFFF00" w:val="clear"/>
        </w:rPr>
        <w:t>Etapa 3: Quiz Crítico</w:t>
      </w:r>
    </w:p>
    <w:p>
      <w:pPr>
        <w:pStyle w:val="Normal"/>
        <w:rPr>
          <w:b/>
          <w:bCs/>
          <w:color w:val="1C1C1C"/>
        </w:rPr>
      </w:pPr>
      <w:r>
        <w:rPr>
          <w:b/>
          <w:bCs/>
          <w:color w:val="1C1C1C"/>
        </w:rPr>
        <w:t>Avaliação formativa com questões de múltipla escolha para reflexão sobre a legislação e a ética do trabalho, ideal para revisão de vestibulares e ENEM.</w:t>
      </w:r>
    </w:p>
    <w:p>
      <w:pPr>
        <w:pStyle w:val="Normal"/>
        <w:rPr>
          <w:b/>
          <w:bCs/>
          <w:color w:val="1C1C1C"/>
        </w:rPr>
      </w:pPr>
      <w:r>
        <w:rPr>
          <w:b/>
          <w:bCs/>
          <w:color w:val="1C1C1C"/>
        </w:rPr>
      </w:r>
    </w:p>
    <w:p>
      <w:pPr>
        <w:pStyle w:val="Normal"/>
        <w:rPr>
          <w:b/>
          <w:highlight w:val="none"/>
          <w:shd w:fill="81ACA6" w:val="clear"/>
        </w:rPr>
      </w:pPr>
      <w:r>
        <w:rPr>
          <w:b/>
          <w:shd w:fill="81ACA6" w:val="clear"/>
        </w:rPr>
        <w:t>JUSTIFICATIVA PEDAGÓGICA:</w:t>
      </w:r>
    </w:p>
    <w:p>
      <w:pPr>
        <w:pStyle w:val="Normal"/>
        <w:rPr>
          <w:b/>
        </w:rPr>
      </w:pPr>
      <w:r>
        <w:rPr>
          <w:b/>
        </w:rPr>
        <w:t>O presente OEA foi concebido com a intencionalidade de promover uma educação inclusiva e cidadã, alinhada aos princípios da educação em direitos humanos e da formação crítica de sujeitos sociais. Museus e centros culturais são espaços de memória, identidade e produção de conhecimento, mas historicamente têm reproduzido barreiras que limitam o acesso de pessoas com deficiência e de grupos socialmente marginalizados.</w:t>
        <w:br/>
        <w:br/>
        <w:t>Ao propor atividades reflexivas e práticas, este recurso pedagógico busca:</w:t>
        <w:br/>
        <w:br/>
      </w:r>
      <w:r>
        <w:rPr>
          <w:b/>
        </w:rPr>
        <w:t xml:space="preserve">1. </w:t>
      </w:r>
      <w:r>
        <w:rPr>
          <w:b/>
        </w:rPr>
        <w:t>Sensibilizar educadores sobre a importância da acessibilidade como condição para a democratização da cultura.</w:t>
        <w:br/>
        <w:br/>
      </w:r>
      <w:r>
        <w:rPr>
          <w:b/>
        </w:rPr>
        <w:t xml:space="preserve">2. </w:t>
      </w:r>
      <w:r>
        <w:rPr>
          <w:b/>
        </w:rPr>
        <w:t>Desenvolver competências críticas nos estudantes, estimulando-os a identificar barreiras e propor soluções.</w:t>
        <w:br/>
        <w:br/>
      </w:r>
      <w:r>
        <w:rPr>
          <w:b/>
        </w:rPr>
        <w:t xml:space="preserve">3. </w:t>
      </w:r>
      <w:r>
        <w:rPr>
          <w:b/>
        </w:rPr>
        <w:t>Fomentar práticas colaborativas que envolvam diferentes públicos na construção de espaços culturais mais inclusivos.</w:t>
        <w:br/>
        <w:br/>
      </w:r>
      <w:r>
        <w:rPr>
          <w:b/>
        </w:rPr>
        <w:t xml:space="preserve">4. </w:t>
      </w:r>
      <w:r>
        <w:rPr>
          <w:b/>
        </w:rPr>
        <w:t>Articular teoria e prática por meio de estudos de caso e elaboração de planos de acessibilidade.</w:t>
        <w:br/>
        <w:br/>
        <w:t>Do ponto de vista pedagógico, o OEA se fundamenta em uma abordagem sociointeracionista, que valoriza o diálogo, a participação ativa e a aprendizagem significativa. Ao trabalhar com situações reais e propor soluções criativas, os estudantes desenvolvem não apenas conhecimentos conceituais, mas também atitudes e valores voltados para a responsabilidade social e a transformação cultural.</w:t>
      </w:r>
    </w:p>
    <w:p>
      <w:pPr>
        <w:pStyle w:val="Normal"/>
        <w:rPr>
          <w:highlight w:val="none"/>
          <w:shd w:fill="81ACA6" w:val="clear"/>
        </w:rPr>
      </w:pPr>
      <w:r>
        <w:rPr>
          <w:b/>
          <w:shd w:fill="81ACA6" w:val="clear"/>
        </w:rPr>
        <w:t>ESTRATÉGIA</w:t>
      </w:r>
      <w:r>
        <w:rPr>
          <w:b/>
          <w:shd w:fill="81ACA6" w:val="clear"/>
        </w:rPr>
        <w:t>S</w:t>
      </w:r>
      <w:r>
        <w:rPr>
          <w:b/>
          <w:shd w:fill="81ACA6" w:val="clear"/>
        </w:rPr>
        <w:t xml:space="preserve"> DE USO:</w:t>
      </w:r>
    </w:p>
    <w:p>
      <w:pPr>
        <w:pStyle w:val="Normal"/>
        <w:rPr>
          <w:b/>
        </w:rPr>
      </w:pPr>
      <w:r>
        <w:rPr>
          <w:b/>
        </w:rPr>
        <w:br/>
      </w:r>
      <w:r>
        <w:rPr>
          <w:b/>
          <w:shd w:fill="FFDE59" w:val="clear"/>
        </w:rPr>
        <w:t xml:space="preserve">01. </w:t>
      </w:r>
      <w:r>
        <w:rPr>
          <w:b/>
          <w:i/>
          <w:iCs/>
          <w:sz w:val="26"/>
          <w:szCs w:val="26"/>
          <w:shd w:fill="FFDE59" w:val="clear"/>
        </w:rPr>
        <w:t>Apresentar o tema</w:t>
      </w:r>
      <w:r>
        <w:rPr>
          <w:b/>
        </w:rPr>
        <w:br/>
        <w:t xml:space="preserve">Inicie com </w:t>
      </w:r>
      <w:r>
        <w:rPr>
          <w:b/>
          <w:i/>
          <w:iCs/>
        </w:rPr>
        <w:t>uma</w:t>
      </w:r>
      <w:r>
        <w:rPr>
          <w:b/>
        </w:rPr>
        <w:t xml:space="preserve"> roda de conversa ou vídeo introdutório sobre inclusão e acessibilidade em espaços culturais.</w:t>
      </w:r>
    </w:p>
    <w:p>
      <w:pPr>
        <w:pStyle w:val="Normal"/>
        <w:rPr>
          <w:b/>
        </w:rPr>
      </w:pPr>
      <w:r>
        <w:rPr>
          <w:b/>
          <w:shd w:fill="FFDE59" w:val="clear"/>
        </w:rPr>
        <w:t xml:space="preserve">02. </w:t>
      </w:r>
      <w:r>
        <w:rPr>
          <w:b/>
          <w:i/>
          <w:iCs/>
          <w:sz w:val="26"/>
          <w:szCs w:val="26"/>
          <w:shd w:fill="FFDE59" w:val="clear"/>
        </w:rPr>
        <w:t>Explorar conceitos-chave</w:t>
      </w:r>
      <w:r>
        <w:rPr>
          <w:b/>
        </w:rPr>
        <w:br/>
        <w:t>Utilize os materiais do OEA (infográficos, textos, exemplos) para discutir tipos de acessibilidade e barreiras existentes.</w:t>
        <w:br/>
        <w:br/>
      </w:r>
      <w:r>
        <w:rPr>
          <w:b/>
          <w:shd w:fill="FFDE59" w:val="clear"/>
        </w:rPr>
        <w:t xml:space="preserve">03. </w:t>
      </w:r>
      <w:r>
        <w:rPr>
          <w:b/>
          <w:i/>
          <w:iCs/>
          <w:sz w:val="26"/>
          <w:szCs w:val="26"/>
          <w:shd w:fill="FFDE59" w:val="clear"/>
        </w:rPr>
        <w:t>Analisar estudo de caso</w:t>
      </w:r>
      <w:r>
        <w:rPr>
          <w:b/>
        </w:rPr>
        <w:br/>
        <w:t>Proponha a análise de um museu ou centro cultural real, identificando práticas inclusivas e pontos de melhoria.</w:t>
        <w:br/>
        <w:br/>
      </w:r>
      <w:r>
        <w:rPr>
          <w:b/>
          <w:shd w:fill="FFDE59" w:val="clear"/>
        </w:rPr>
        <w:t xml:space="preserve">04. </w:t>
      </w:r>
      <w:r>
        <w:rPr>
          <w:b/>
          <w:i/>
          <w:iCs/>
          <w:sz w:val="26"/>
          <w:szCs w:val="26"/>
          <w:shd w:fill="FFDE59" w:val="clear"/>
        </w:rPr>
        <w:t>Realizar atividade prática</w:t>
      </w:r>
      <w:r>
        <w:rPr>
          <w:b/>
        </w:rPr>
        <w:br/>
        <w:t>Organize grupos para elaborar planos de acessibilidade para um espaço cultural fictício, aplicando os conceitos aprendidos.</w:t>
        <w:br/>
        <w:br/>
      </w:r>
      <w:r>
        <w:rPr>
          <w:b/>
          <w:shd w:fill="FFDE59" w:val="clear"/>
        </w:rPr>
        <w:t xml:space="preserve">05. </w:t>
      </w:r>
      <w:r>
        <w:rPr>
          <w:b/>
          <w:i/>
          <w:iCs/>
          <w:sz w:val="26"/>
          <w:szCs w:val="26"/>
          <w:shd w:fill="FFDE59" w:val="clear"/>
        </w:rPr>
        <w:t>Compartilhar e refletir</w:t>
      </w:r>
      <w:r>
        <w:rPr>
          <w:b/>
        </w:rPr>
        <w:br/>
        <w:t>Cada grupo apresenta suas propostas; em seguida, promove-se um debate sobre como a acessibilidade transforma a experiência cultural.</w:t>
        <w:br/>
        <w:br/>
      </w:r>
      <w:r>
        <w:rPr>
          <w:b/>
          <w:shd w:fill="FFDE59" w:val="clear"/>
        </w:rPr>
        <w:t xml:space="preserve">06. </w:t>
      </w:r>
      <w:r>
        <w:rPr>
          <w:b/>
          <w:i/>
          <w:iCs/>
          <w:sz w:val="26"/>
          <w:szCs w:val="26"/>
          <w:shd w:fill="FFDE59" w:val="clear"/>
        </w:rPr>
        <w:t>Avaliar e expandir</w:t>
      </w:r>
      <w:r>
        <w:rPr>
          <w:b/>
        </w:rPr>
        <w:br/>
        <w:t>Finalize com uma avaliação reflexiva e incentive visitas técnicas ou projetos de extensão para aplicar os aprendizados em contextos reais.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highlight w:val="none"/>
          <w:shd w:fill="81ACA6" w:val="clear"/>
        </w:rPr>
      </w:pPr>
      <w:r>
        <w:rPr>
          <w:b/>
          <w:shd w:fill="81ACA6" w:val="clear"/>
        </w:rPr>
        <w:t>ASPECTOS DE ACESSIBILIDADE: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Formatos acessíveis: oferecer versões em braille digital, Libras (vídeos), audiodescrição e texto simples para leitores de tela.</w:t>
      </w:r>
    </w:p>
    <w:p>
      <w:pPr>
        <w:pStyle w:val="Normal"/>
        <w:rPr>
          <w:highlight w:val="none"/>
          <w:shd w:fill="81ACA6" w:val="clear"/>
        </w:rPr>
      </w:pPr>
      <w:r>
        <w:rPr>
          <w:b/>
          <w:shd w:fill="81ACA6" w:val="clear"/>
        </w:rPr>
        <w:t>LICENÇA DE USO (CREATIVE COMMONS, ETC.):</w:t>
      </w:r>
      <w:bookmarkStart w:id="0" w:name="_GoBack"/>
      <w:bookmarkEnd w:id="0"/>
    </w:p>
    <w:p>
      <w:pPr>
        <w:pStyle w:val="Normal"/>
        <w:rPr>
          <w:b/>
        </w:rPr>
      </w:pPr>
      <w:r>
        <w:rPr>
          <w:b/>
        </w:rPr>
        <w:t>Este OEA é disponibilizado sob licença Creative Commons BY-SA, permitindo uso, adaptação e compartilhamento com atribuição e preservação da mesma licença.</w:t>
      </w:r>
    </w:p>
    <w:p>
      <w:pPr>
        <w:pStyle w:val="Normal"/>
        <w:rPr>
          <w:highlight w:val="none"/>
          <w:shd w:fill="81ACA6" w:val="clear"/>
        </w:rPr>
      </w:pPr>
      <w:r>
        <w:rPr>
          <w:b/>
          <w:shd w:fill="81ACA6" w:val="clear"/>
        </w:rPr>
        <w:t>REFERÊNCIAS UTILIZADAS :</w:t>
      </w:r>
    </w:p>
    <w:p>
      <w:pPr>
        <w:pStyle w:val="Normal"/>
        <w:rPr/>
      </w:pPr>
      <w:r>
        <w:rPr/>
        <w:br/>
      </w:r>
    </w:p>
    <w:tbl>
      <w:tblPr>
        <w:tblW w:w="8640" w:type="dxa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70"/>
        <w:gridCol w:w="3095"/>
        <w:gridCol w:w="3775"/>
      </w:tblGrid>
      <w:tr>
        <w:trPr>
          <w:tblHeader w:val="true"/>
        </w:trPr>
        <w:tc>
          <w:tcPr>
            <w:tcW w:w="1770" w:type="dxa"/>
            <w:tcBorders/>
            <w:vAlign w:val="center"/>
          </w:tcPr>
          <w:p>
            <w:pPr>
              <w:pStyle w:val="Ttulodetabela"/>
              <w:suppressLineNumbers/>
              <w:spacing w:before="0" w:after="200"/>
              <w:jc w:val="center"/>
              <w:rPr/>
            </w:pPr>
            <w:hyperlink r:id="rId2">
              <w:r>
                <w:rPr>
                  <w:rStyle w:val="Hyperlink"/>
                  <w:b/>
                  <w:b/>
                  <w:bCs/>
                </w:rPr>
                <w:t>Categoria</w:t>
              </w:r>
            </w:hyperlink>
          </w:p>
        </w:tc>
        <w:tc>
          <w:tcPr>
            <w:tcW w:w="3095" w:type="dxa"/>
            <w:tcBorders/>
            <w:vAlign w:val="center"/>
          </w:tcPr>
          <w:p>
            <w:pPr>
              <w:pStyle w:val="Ttulodetabela"/>
              <w:suppressLineNumbers/>
              <w:spacing w:before="0" w:after="200"/>
              <w:jc w:val="center"/>
              <w:rPr/>
            </w:pPr>
            <w:hyperlink r:id="rId3">
              <w:r>
                <w:rPr>
                  <w:rStyle w:val="Hyperlink"/>
                  <w:b/>
                  <w:b/>
                  <w:bCs/>
                </w:rPr>
                <w:t>Referência</w:t>
              </w:r>
            </w:hyperlink>
          </w:p>
        </w:tc>
        <w:tc>
          <w:tcPr>
            <w:tcW w:w="3775" w:type="dxa"/>
            <w:tcBorders/>
            <w:vAlign w:val="center"/>
          </w:tcPr>
          <w:p>
            <w:pPr>
              <w:pStyle w:val="Ttulodetabela"/>
              <w:suppressLineNumbers/>
              <w:spacing w:before="0" w:after="200"/>
              <w:jc w:val="center"/>
              <w:rPr/>
            </w:pPr>
            <w:hyperlink r:id="rId4">
              <w:r>
                <w:rPr>
                  <w:rStyle w:val="Hyperlink"/>
                  <w:b/>
                  <w:b/>
                  <w:bCs/>
                </w:rPr>
                <w:t>Contribuição para o OEA</w:t>
              </w:r>
            </w:hyperlink>
          </w:p>
        </w:tc>
      </w:tr>
      <w:tr>
        <w:trPr/>
        <w:tc>
          <w:tcPr>
            <w:tcW w:w="1770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hyperlink r:id="rId5">
              <w:r>
                <w:rPr>
                  <w:rStyle w:val="Hyperlink"/>
                  <w:b/>
                  <w:b/>
                  <w:bCs/>
                </w:rPr>
                <w:t>Legislação</w:t>
              </w:r>
            </w:hyperlink>
          </w:p>
        </w:tc>
        <w:tc>
          <w:tcPr>
            <w:tcW w:w="3095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r>
              <w:rPr/>
              <w:t>Lei Brasileira de Inclusão da Pessoa com Deficiência (Lei nº 13.146/2015)</w:t>
            </w:r>
          </w:p>
        </w:tc>
        <w:tc>
          <w:tcPr>
            <w:tcW w:w="3775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r>
              <w:rPr/>
              <w:t>Define direitos culturais e obriga acessibilidade em espaços públicos e privados.</w:t>
            </w:r>
          </w:p>
        </w:tc>
      </w:tr>
      <w:tr>
        <w:trPr/>
        <w:tc>
          <w:tcPr>
            <w:tcW w:w="1770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hyperlink r:id="rId6">
              <w:r>
                <w:rPr>
                  <w:rStyle w:val="Hyperlink"/>
                  <w:b/>
                  <w:b/>
                  <w:bCs/>
                </w:rPr>
                <w:t>Norma Técnica</w:t>
              </w:r>
            </w:hyperlink>
          </w:p>
        </w:tc>
        <w:tc>
          <w:tcPr>
            <w:tcW w:w="3095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r>
              <w:rPr/>
              <w:t>ABNT NBR 9050 – Acessibilidade a edificações, mobiliário e espaços urbanos</w:t>
            </w:r>
          </w:p>
        </w:tc>
        <w:tc>
          <w:tcPr>
            <w:tcW w:w="3775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r>
              <w:rPr/>
              <w:t>Oferece parâmetros técnicos para adaptação arquitetônica e sinalização inclusiva.</w:t>
            </w:r>
          </w:p>
        </w:tc>
      </w:tr>
      <w:tr>
        <w:trPr/>
        <w:tc>
          <w:tcPr>
            <w:tcW w:w="1770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hyperlink r:id="rId7">
              <w:r>
                <w:rPr>
                  <w:rStyle w:val="Hyperlink"/>
                  <w:b/>
                  <w:b/>
                  <w:bCs/>
                </w:rPr>
                <w:t>Política Pública</w:t>
              </w:r>
            </w:hyperlink>
          </w:p>
        </w:tc>
        <w:tc>
          <w:tcPr>
            <w:tcW w:w="3095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r>
              <w:rPr/>
              <w:t>Programa Nacional de Acessibilidade em Museus – “Acesse Museus” (Ibram, 2024)</w:t>
            </w:r>
          </w:p>
        </w:tc>
        <w:tc>
          <w:tcPr>
            <w:tcW w:w="3775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r>
              <w:rPr/>
              <w:t>Incentiva práticas inclusivas e elimina barreiras físicas, sensoriais e atitudinais em museus.</w:t>
            </w:r>
          </w:p>
        </w:tc>
      </w:tr>
      <w:tr>
        <w:trPr/>
        <w:tc>
          <w:tcPr>
            <w:tcW w:w="1770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hyperlink r:id="rId8">
              <w:r>
                <w:rPr>
                  <w:rStyle w:val="Hyperlink"/>
                  <w:b/>
                  <w:b/>
                  <w:bCs/>
                </w:rPr>
                <w:t>Guia Prático</w:t>
              </w:r>
            </w:hyperlink>
          </w:p>
        </w:tc>
        <w:tc>
          <w:tcPr>
            <w:tcW w:w="3095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r>
              <w:rPr/>
              <w:t>Plataforma “Museus Acessíveis”</w:t>
            </w:r>
          </w:p>
        </w:tc>
        <w:tc>
          <w:tcPr>
            <w:tcW w:w="3775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r>
              <w:rPr/>
              <w:t>Avalia e mapeia recursos de acessibilidade em museus brasileiros, com exemplos aplicáveis.</w:t>
            </w:r>
          </w:p>
        </w:tc>
      </w:tr>
      <w:tr>
        <w:trPr/>
        <w:tc>
          <w:tcPr>
            <w:tcW w:w="1770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hyperlink r:id="rId9">
              <w:r>
                <w:rPr>
                  <w:rStyle w:val="Hyperlink"/>
                  <w:b/>
                  <w:b/>
                  <w:bCs/>
                </w:rPr>
                <w:t>Organismo Internacional</w:t>
              </w:r>
            </w:hyperlink>
          </w:p>
        </w:tc>
        <w:tc>
          <w:tcPr>
            <w:tcW w:w="3095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r>
              <w:rPr/>
              <w:t>Conselho Internacional de Museus (ICOM)</w:t>
            </w:r>
          </w:p>
        </w:tc>
        <w:tc>
          <w:tcPr>
            <w:tcW w:w="3775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r>
              <w:rPr/>
              <w:t>Define museus como espaços abertos, inclusivos e participativos, reforçando seu papel social.</w:t>
            </w:r>
          </w:p>
        </w:tc>
      </w:tr>
      <w:tr>
        <w:trPr/>
        <w:tc>
          <w:tcPr>
            <w:tcW w:w="1770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hyperlink r:id="rId10">
              <w:r>
                <w:rPr>
                  <w:rStyle w:val="Hyperlink"/>
                  <w:b/>
                  <w:b/>
                  <w:bCs/>
                </w:rPr>
                <w:t>Educação Crítica</w:t>
              </w:r>
            </w:hyperlink>
          </w:p>
        </w:tc>
        <w:tc>
          <w:tcPr>
            <w:tcW w:w="3095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r>
              <w:rPr/>
              <w:t>Paulo Freire – Pedagogia da Autonomia</w:t>
            </w:r>
          </w:p>
        </w:tc>
        <w:tc>
          <w:tcPr>
            <w:tcW w:w="3775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r>
              <w:rPr/>
              <w:t>Fundamenta a abordagem sociointeracionista, valorizando diálogo e participação ativa.</w:t>
            </w:r>
          </w:p>
        </w:tc>
      </w:tr>
      <w:tr>
        <w:trPr/>
        <w:tc>
          <w:tcPr>
            <w:tcW w:w="1770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hyperlink r:id="rId11">
              <w:r>
                <w:rPr>
                  <w:rStyle w:val="Hyperlink"/>
                  <w:b/>
                  <w:b/>
                  <w:bCs/>
                </w:rPr>
                <w:t>Direitos Humanos</w:t>
              </w:r>
            </w:hyperlink>
          </w:p>
        </w:tc>
        <w:tc>
          <w:tcPr>
            <w:tcW w:w="3095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r>
              <w:rPr/>
              <w:t>UNESCO – Declaração Universal sobre Diversidade Cultural</w:t>
            </w:r>
          </w:p>
        </w:tc>
        <w:tc>
          <w:tcPr>
            <w:tcW w:w="3775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spacing w:before="0" w:after="200"/>
              <w:rPr/>
            </w:pPr>
            <w:r>
              <w:rPr/>
              <w:t>Afirma a cultura como direito humano e destaca a importância da diversidade nos espaços culturais.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Ink Free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18bf"/>
    <w:rPr/>
  </w:style>
  <w:style w:type="character" w:styleId="RodapChar" w:customStyle="1">
    <w:name w:val="Rodapé Char"/>
    <w:basedOn w:val="DefaultParagraphFont"/>
    <w:uiPriority w:val="99"/>
    <w:qFormat/>
    <w:rsid w:val="00e618bf"/>
    <w:rPr/>
  </w:style>
  <w:style w:type="character" w:styleId="Ttulo1Char" w:customStyle="1">
    <w:name w:val="Título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Ttulo2Char" w:customStyle="1">
    <w:name w:val="Título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Ttulo3Char" w:customStyle="1">
    <w:name w:val="Título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tuloChar" w:customStyle="1">
    <w:name w:val="Título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tuloChar" w:customStyle="1">
    <w:name w:val="Subtítulo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CorpodetextoChar" w:customStyle="1">
    <w:name w:val="Corpo de texto Char"/>
    <w:basedOn w:val="DefaultParagraphFont"/>
    <w:uiPriority w:val="99"/>
    <w:qFormat/>
    <w:rsid w:val="00aa1d8d"/>
    <w:rPr/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aa1d8d"/>
    <w:rPr/>
  </w:style>
  <w:style w:type="character" w:styleId="Corpodetexto3Char" w:customStyle="1">
    <w:name w:val="Corpo de texto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odemacroChar" w:customStyle="1">
    <w:name w:val="Texto de macro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Ttulo4Char" w:customStyle="1">
    <w:name w:val="Título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Ttulo5Char" w:customStyle="1">
    <w:name w:val="Título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Ttulo6Char" w:customStyle="1">
    <w:name w:val="Título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Ttulo7Char" w:customStyle="1">
    <w:name w:val="Título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Ttulo8Char" w:customStyle="1">
    <w:name w:val="Título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Ttulo9Char" w:customStyle="1">
    <w:name w:val="Título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tulo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Corpodetexto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Textodemacro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a://s?q=Categorias_de_refer&#234;ncias_inclus&#227;o" TargetMode="External"/><Relationship Id="rId3" Type="http://schemas.openxmlformats.org/officeDocument/2006/relationships/hyperlink" Target="ca://s?q=Refer&#234;ncias_inclus&#227;o_museus" TargetMode="External"/><Relationship Id="rId4" Type="http://schemas.openxmlformats.org/officeDocument/2006/relationships/hyperlink" Target="ca://s?q=Contribui&#231;&#227;o_para_OEA_inclus&#227;o" TargetMode="External"/><Relationship Id="rId5" Type="http://schemas.openxmlformats.org/officeDocument/2006/relationships/hyperlink" Target="ca://s?q=Legisla&#231;&#227;o_sobre_inclus&#227;o_cultural" TargetMode="External"/><Relationship Id="rId6" Type="http://schemas.openxmlformats.org/officeDocument/2006/relationships/hyperlink" Target="ca://s?q=Norma_t&#233;cnica_acessibilidade" TargetMode="External"/><Relationship Id="rId7" Type="http://schemas.openxmlformats.org/officeDocument/2006/relationships/hyperlink" Target="ca://s?q=Pol&#237;ticas_p&#250;blicas_inclus&#227;o_museus" TargetMode="External"/><Relationship Id="rId8" Type="http://schemas.openxmlformats.org/officeDocument/2006/relationships/hyperlink" Target="ca://s?q=Guia_pr&#225;tico_museus_acess&#237;veis" TargetMode="External"/><Relationship Id="rId9" Type="http://schemas.openxmlformats.org/officeDocument/2006/relationships/hyperlink" Target="ca://s?q=ICOM_defini&#231;&#227;o_museu_inclusivo" TargetMode="External"/><Relationship Id="rId10" Type="http://schemas.openxmlformats.org/officeDocument/2006/relationships/hyperlink" Target="ca://s?q=Educa&#231;&#227;o_cr&#237;tica_Paulo_Freire" TargetMode="External"/><Relationship Id="rId11" Type="http://schemas.openxmlformats.org/officeDocument/2006/relationships/hyperlink" Target="ca://s?q=UNESCO_direitos_culturais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19F5AF-6A6C-4F46-9D0E-64E6EC9C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LibreOffice/25.8.5.2$Windows_X86_64 LibreOffice_project/9c8b85f387cc00a89945a79c9e6239f32e450ac2</Application>
  <AppVersion>15.0000</AppVersion>
  <Pages>5</Pages>
  <Words>922</Words>
  <Characters>5800</Characters>
  <CharactersWithSpaces>6723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2026-04-27T02:47:00Z</dcterms:created>
  <dc:creator>python-docx</dc:creator>
  <dc:description>generated by python-docx</dc:description>
  <dc:language>pt-BR</dc:language>
  <cp:lastModifiedBy/>
  <dcterms:modified xsi:type="dcterms:W3CDTF">2026-05-11T21:32:24Z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