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065A1" w:rsidRDefault="001065A1" w14:paraId="303D718A" w14:textId="5C3001A4">
      <w:pPr>
        <w:spacing w:line="240" w:lineRule="auto"/>
        <w:jc w:val="center"/>
        <w:rPr>
          <w:rFonts w:ascii="Arial Narrow" w:hAnsi="Arial Narrow" w:eastAsia="Arial Narrow" w:cs="Arial Narrow"/>
          <w:b/>
          <w:i/>
          <w:sz w:val="28"/>
          <w:szCs w:val="28"/>
        </w:rPr>
      </w:pPr>
    </w:p>
    <w:p w:rsidR="003E4508" w:rsidP="003E4508" w:rsidRDefault="003E4508" w14:paraId="71C2B689" w14:textId="77777777">
      <w:pPr>
        <w:spacing w:line="360" w:lineRule="auto"/>
        <w:rPr>
          <w:rFonts w:ascii="Arial Narrow" w:hAnsi="Arial Narrow" w:eastAsia="Arial Narrow" w:cs="Arial Narrow"/>
          <w:b/>
          <w:sz w:val="28"/>
          <w:szCs w:val="28"/>
        </w:rPr>
      </w:pPr>
    </w:p>
    <w:p w:rsidRPr="00CC350E" w:rsidR="001065A1" w:rsidP="00CC350E" w:rsidRDefault="00B52AE5" w14:paraId="40397A86" w14:textId="6994279D">
      <w:pPr>
        <w:spacing w:after="0" w:line="240" w:lineRule="auto"/>
        <w:jc w:val="center"/>
      </w:pPr>
      <w:r w:rsidRPr="73165685">
        <w:rPr>
          <w:rFonts w:ascii="Times New Roman" w:hAnsi="Times New Roman" w:eastAsia="Arial Narrow" w:cs="Times New Roman"/>
          <w:b/>
          <w:bCs/>
          <w:sz w:val="28"/>
          <w:szCs w:val="28"/>
        </w:rPr>
        <w:t>ELABORAÇÃO DE RESUMO EXPANDIDO</w:t>
      </w:r>
      <w:r w:rsidRPr="73165685" w:rsidR="65574290">
        <w:rPr>
          <w:rFonts w:ascii="Times New Roman" w:hAnsi="Times New Roman" w:eastAsia="Arial Narrow" w:cs="Times New Roman"/>
          <w:b/>
          <w:bCs/>
          <w:sz w:val="28"/>
          <w:szCs w:val="28"/>
        </w:rPr>
        <w:t xml:space="preserve"> </w:t>
      </w:r>
      <w:r w:rsidRPr="73165685" w:rsidR="66C199C1">
        <w:rPr>
          <w:rFonts w:ascii="Times New Roman" w:hAnsi="Times New Roman" w:eastAsia="Arial Narrow" w:cs="Times New Roman"/>
          <w:b/>
          <w:bCs/>
          <w:sz w:val="28"/>
          <w:szCs w:val="28"/>
        </w:rPr>
        <w:t>(JOGO</w:t>
      </w:r>
      <w:r w:rsidRPr="73165685" w:rsidR="65574290">
        <w:rPr>
          <w:rFonts w:ascii="Times New Roman" w:hAnsi="Times New Roman" w:eastAsia="Arial Narrow" w:cs="Times New Roman"/>
          <w:b/>
          <w:bCs/>
          <w:sz w:val="28"/>
          <w:szCs w:val="28"/>
        </w:rPr>
        <w:t xml:space="preserve"> TORRE DO CONHECIMENTO)</w:t>
      </w:r>
    </w:p>
    <w:p w:rsidR="00CC350E" w:rsidP="00CC350E" w:rsidRDefault="00CC350E" w14:paraId="78EC04EB" w14:textId="77777777">
      <w:pPr>
        <w:spacing w:after="0" w:line="240" w:lineRule="auto"/>
        <w:jc w:val="center"/>
        <w:rPr>
          <w:rFonts w:ascii="Times New Roman" w:hAnsi="Times New Roman" w:eastAsia="Arial Narrow" w:cs="Times New Roman"/>
          <w:b/>
          <w:sz w:val="24"/>
          <w:szCs w:val="24"/>
        </w:rPr>
      </w:pPr>
    </w:p>
    <w:p w:rsidRPr="00E452F3" w:rsidR="001065A1" w:rsidP="00CC350E" w:rsidRDefault="606E850F" w14:paraId="7CB014E2" w14:textId="073AB56A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eastAsia="Arial Narrow" w:cs="Times New Roman"/>
          <w:sz w:val="24"/>
          <w:szCs w:val="24"/>
        </w:rPr>
      </w:pPr>
      <w:r w:rsidRPr="771FD841" w:rsidR="606E850F">
        <w:rPr>
          <w:rFonts w:ascii="Times New Roman" w:hAnsi="Times New Roman" w:eastAsia="Arial Narrow" w:cs="Times New Roman"/>
          <w:sz w:val="24"/>
          <w:szCs w:val="24"/>
        </w:rPr>
        <w:t>Gleison Nascimento</w:t>
      </w:r>
      <w:r w:rsidRPr="771FD841" w:rsidR="606E850F">
        <w:rPr>
          <w:rFonts w:ascii="Times New Roman" w:hAnsi="Times New Roman" w:eastAsia="Arial Narrow" w:cs="Times New Roman"/>
          <w:sz w:val="24"/>
          <w:szCs w:val="24"/>
          <w:vertAlign w:val="superscript"/>
        </w:rPr>
        <w:t>1</w:t>
      </w:r>
      <w:r w:rsidRPr="771FD841" w:rsidR="606E850F">
        <w:rPr>
          <w:rFonts w:ascii="Times New Roman" w:hAnsi="Times New Roman" w:eastAsia="Arial Narrow" w:cs="Times New Roman"/>
          <w:sz w:val="24"/>
          <w:szCs w:val="24"/>
        </w:rPr>
        <w:t>, Isaias Vinicios</w:t>
      </w:r>
      <w:r w:rsidRPr="771FD841" w:rsidR="606E850F">
        <w:rPr>
          <w:rFonts w:ascii="Times New Roman" w:hAnsi="Times New Roman" w:eastAsia="Arial Narrow" w:cs="Times New Roman"/>
          <w:sz w:val="24"/>
          <w:szCs w:val="24"/>
          <w:vertAlign w:val="superscript"/>
        </w:rPr>
        <w:t>2</w:t>
      </w:r>
      <w:r w:rsidRPr="771FD841" w:rsidR="606E850F">
        <w:rPr>
          <w:rFonts w:ascii="Times New Roman" w:hAnsi="Times New Roman" w:eastAsia="Arial Narrow" w:cs="Times New Roman"/>
          <w:sz w:val="24"/>
          <w:szCs w:val="24"/>
        </w:rPr>
        <w:t>, Laiza Castro</w:t>
      </w:r>
      <w:r w:rsidRPr="771FD841" w:rsidR="606E850F">
        <w:rPr>
          <w:rFonts w:ascii="Times New Roman" w:hAnsi="Times New Roman" w:eastAsia="Arial Narrow" w:cs="Times New Roman"/>
          <w:sz w:val="24"/>
          <w:szCs w:val="24"/>
          <w:vertAlign w:val="superscript"/>
        </w:rPr>
        <w:t>3</w:t>
      </w:r>
      <w:r w:rsidRPr="771FD841" w:rsidR="606E850F">
        <w:rPr>
          <w:rFonts w:ascii="Times New Roman" w:hAnsi="Times New Roman" w:eastAsia="Arial Narrow" w:cs="Times New Roman"/>
          <w:sz w:val="24"/>
          <w:szCs w:val="24"/>
        </w:rPr>
        <w:t>, Laisla Saane</w:t>
      </w:r>
      <w:r w:rsidRPr="771FD841" w:rsidR="606E850F">
        <w:rPr>
          <w:rFonts w:ascii="Times New Roman" w:hAnsi="Times New Roman" w:eastAsia="Arial Narrow" w:cs="Times New Roman"/>
          <w:sz w:val="24"/>
          <w:szCs w:val="24"/>
          <w:vertAlign w:val="superscript"/>
        </w:rPr>
        <w:t>4</w:t>
      </w:r>
      <w:r w:rsidRPr="771FD841" w:rsidR="606E850F">
        <w:rPr>
          <w:rFonts w:ascii="Times New Roman" w:hAnsi="Times New Roman" w:eastAsia="Arial Narrow" w:cs="Times New Roman"/>
          <w:sz w:val="24"/>
          <w:szCs w:val="24"/>
        </w:rPr>
        <w:t>, Rebecca Nielly</w:t>
      </w:r>
      <w:r w:rsidRPr="771FD841" w:rsidR="606E850F">
        <w:rPr>
          <w:rFonts w:ascii="Times New Roman" w:hAnsi="Times New Roman" w:eastAsia="Arial Narrow" w:cs="Times New Roman"/>
          <w:sz w:val="24"/>
          <w:szCs w:val="24"/>
          <w:vertAlign w:val="superscript"/>
        </w:rPr>
        <w:t>5</w:t>
      </w:r>
      <w:r w:rsidRPr="771FD841" w:rsidR="606E850F">
        <w:rPr>
          <w:rFonts w:ascii="Times New Roman" w:hAnsi="Times New Roman" w:eastAsia="Arial Narrow" w:cs="Times New Roman"/>
          <w:sz w:val="24"/>
          <w:szCs w:val="24"/>
        </w:rPr>
        <w:t xml:space="preserve"> </w:t>
      </w:r>
    </w:p>
    <w:p w:rsidRPr="00E452F3" w:rsidR="001065A1" w:rsidP="00CC350E" w:rsidRDefault="001065A1" w14:paraId="0A1E23BB" w14:textId="77777777">
      <w:pPr>
        <w:tabs>
          <w:tab w:val="left" w:pos="720"/>
        </w:tabs>
        <w:spacing w:after="0" w:line="240" w:lineRule="auto"/>
        <w:ind w:left="84" w:hanging="84"/>
        <w:jc w:val="both"/>
        <w:rPr>
          <w:rFonts w:ascii="Times New Roman" w:hAnsi="Times New Roman" w:eastAsia="Arial Narrow" w:cs="Times New Roman"/>
          <w:sz w:val="24"/>
          <w:szCs w:val="24"/>
          <w:vertAlign w:val="superscript"/>
        </w:rPr>
      </w:pPr>
    </w:p>
    <w:p w:rsidRPr="00E452F3" w:rsidR="001065A1" w:rsidP="73165685" w:rsidRDefault="00B52AE5" w14:paraId="52808A9C" w14:textId="04B7E585">
      <w:pPr>
        <w:spacing w:line="360" w:lineRule="auto"/>
        <w:jc w:val="center"/>
        <w:rPr>
          <w:rFonts w:ascii="Times New Roman" w:hAnsi="Times New Roman" w:eastAsia="Arial Narrow" w:cs="Times New Roman"/>
          <w:b/>
          <w:bCs/>
          <w:sz w:val="24"/>
          <w:szCs w:val="24"/>
        </w:rPr>
      </w:pPr>
      <w:r w:rsidRPr="73165685">
        <w:rPr>
          <w:rFonts w:ascii="Times New Roman" w:hAnsi="Times New Roman" w:eastAsia="Arial Narrow" w:cs="Times New Roman"/>
          <w:b/>
          <w:bCs/>
          <w:sz w:val="24"/>
          <w:szCs w:val="24"/>
        </w:rPr>
        <w:t>RESUMO</w:t>
      </w:r>
    </w:p>
    <w:p w:rsidRPr="00F405E5" w:rsidR="001065A1" w:rsidP="73165685" w:rsidRDefault="296EC6C0" w14:paraId="6C603CB4" w14:textId="5B8C986B">
      <w:pPr>
        <w:spacing w:before="240" w:after="240" w:line="240" w:lineRule="auto"/>
        <w:jc w:val="both"/>
      </w:pPr>
      <w:r w:rsidRPr="73165685">
        <w:rPr>
          <w:rFonts w:ascii="Times New Roman" w:hAnsi="Times New Roman" w:eastAsia="Times New Roman" w:cs="Times New Roman"/>
        </w:rPr>
        <w:t>O jogo Torre do Conhecimento – Manejo Sanitário na Produção de Avicultura tem como propósito promover o aprendizado ativo sobre práticas de biosseguridade e higiene na criação de aves, estimulando o raciocínio crítico e o trabalho em equipe. A metodologia aplicada baseia-se na aprendizagem lúdica, em que os alunos constroem uma torre com blocos a cada resposta correta, representando o avanço do conhecimento. As perguntas abordam temas como limpeza das instalações, controle de pragas, vacinação e prevenção de doenças, permitindo que os participantes relacionem teoria e prática de forma dinâmica. A atividade favorece a interdisciplinaridade, integrando conteúdos de biologia, saúde e meio ambiente, e reforça a importância do manejo sanitário para garantir a qualidade dos alimentos e a sustentabilidade da produção avícola. Assim, o jogo contribui para uma formação mais consciente e participativa dos estudantes.</w:t>
      </w:r>
    </w:p>
    <w:p w:rsidRPr="00F405E5" w:rsidR="001065A1" w:rsidP="73165685" w:rsidRDefault="296EC6C0" w14:paraId="43806B64" w14:textId="3484091B">
      <w:pPr>
        <w:spacing w:before="240" w:after="240" w:line="240" w:lineRule="auto"/>
        <w:jc w:val="both"/>
      </w:pPr>
      <w:r w:rsidRPr="73165685">
        <w:rPr>
          <w:rFonts w:ascii="Times New Roman" w:hAnsi="Times New Roman" w:eastAsia="Times New Roman" w:cs="Times New Roman"/>
          <w:b/>
          <w:bCs/>
        </w:rPr>
        <w:t>Palavras-chave:</w:t>
      </w:r>
      <w:r w:rsidRPr="73165685">
        <w:rPr>
          <w:rFonts w:ascii="Times New Roman" w:hAnsi="Times New Roman" w:eastAsia="Times New Roman" w:cs="Times New Roman"/>
        </w:rPr>
        <w:t xml:space="preserve"> Avicultura. Biosseguridade. Educação.</w:t>
      </w:r>
    </w:p>
    <w:p w:rsidRPr="00F405E5" w:rsidR="001065A1" w:rsidP="73165685" w:rsidRDefault="001065A1" w14:paraId="285265A7" w14:textId="71A77FA6">
      <w:pPr>
        <w:spacing w:after="0" w:line="240" w:lineRule="auto"/>
        <w:jc w:val="both"/>
        <w:rPr>
          <w:rFonts w:ascii="Times New Roman" w:hAnsi="Times New Roman" w:eastAsia="Arial Narrow" w:cs="Times New Roman"/>
        </w:rPr>
      </w:pPr>
    </w:p>
    <w:p w:rsidR="73165685" w:rsidP="73165685" w:rsidRDefault="73165685" w14:paraId="6247267D" w14:textId="346F0148">
      <w:pPr>
        <w:spacing w:after="0" w:line="240" w:lineRule="auto"/>
        <w:jc w:val="both"/>
        <w:rPr>
          <w:rFonts w:ascii="Times New Roman" w:hAnsi="Times New Roman" w:eastAsia="Arial Narrow" w:cs="Times New Roman"/>
        </w:rPr>
      </w:pPr>
    </w:p>
    <w:p w:rsidRPr="00CC350E" w:rsidR="001065A1" w:rsidP="004925AE" w:rsidRDefault="00B52AE5" w14:paraId="6E669AF8" w14:textId="384512D3">
      <w:pPr>
        <w:pStyle w:val="PargrafodaLista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eastAsia="Arial Narrow" w:cs="Times New Roman"/>
          <w:b/>
          <w:sz w:val="24"/>
          <w:szCs w:val="24"/>
        </w:rPr>
      </w:pPr>
      <w:r w:rsidRPr="73165685">
        <w:rPr>
          <w:rFonts w:ascii="Times New Roman" w:hAnsi="Times New Roman" w:eastAsia="Arial Narrow" w:cs="Times New Roman"/>
          <w:b/>
          <w:bCs/>
          <w:sz w:val="24"/>
          <w:szCs w:val="24"/>
        </w:rPr>
        <w:t>INTRODUÇÃO</w:t>
      </w:r>
    </w:p>
    <w:p w:rsidR="16EF6BA6" w:rsidP="73165685" w:rsidRDefault="16EF6BA6" w14:paraId="2749DF91" w14:textId="49B8D072">
      <w:pPr>
        <w:spacing w:before="240" w:after="240" w:line="360" w:lineRule="auto"/>
        <w:ind w:firstLine="720"/>
        <w:jc w:val="both"/>
      </w:pPr>
      <w:r w:rsidRPr="73165685">
        <w:rPr>
          <w:rFonts w:ascii="Times New Roman" w:hAnsi="Times New Roman" w:eastAsia="Times New Roman" w:cs="Times New Roman"/>
          <w:sz w:val="24"/>
          <w:szCs w:val="24"/>
        </w:rPr>
        <w:t>A avicultura é uma das principais atividades da agropecuária brasileira, responsável por grande parte da produção de carne e ovos consumidos no país e exportados para o exterior. Além de sua relevância econômica, o setor contribui para a geração de empregos, renda e para a segurança alimentar da população. No entanto, para que essa cadeia produtiva mantenha sua eficiência e credibilidade, é essencial adotar práticas adequadas de manejo sanitário, que garantam o bem-estar das aves e a qualidade dos alimentos destinados ao consumo humano.</w:t>
      </w:r>
    </w:p>
    <w:p w:rsidR="16EF6BA6" w:rsidP="73165685" w:rsidRDefault="16EF6BA6" w14:paraId="75F0FC87" w14:textId="79A94CDA">
      <w:pPr>
        <w:spacing w:before="240" w:after="240" w:line="360" w:lineRule="auto"/>
        <w:jc w:val="both"/>
      </w:pPr>
      <w:r w:rsidRPr="73165685">
        <w:rPr>
          <w:rFonts w:ascii="Times New Roman" w:hAnsi="Times New Roman" w:eastAsia="Times New Roman" w:cs="Times New Roman"/>
          <w:sz w:val="24"/>
          <w:szCs w:val="24"/>
        </w:rPr>
        <w:t>O manejo sanitário envolve um conjunto de medidas preventivas e corretivas voltadas à higiene das instalações, ao controle de pragas e doenças, à biosseguridade e à saúde dos trabalhadores. A ausência dessas práticas pode causar surtos de enfermidades, perdas econômicas e riscos à saúde pública. Diante disso, torna-se fundamental que estudantes e futuros profissionais compreendam e apliquem corretamente esses princípios, promovendo uma produção avícola sustentável e segura.</w:t>
      </w:r>
    </w:p>
    <w:p w:rsidR="16EF6BA6" w:rsidP="73165685" w:rsidRDefault="16EF6BA6" w14:paraId="5F2A7D35" w14:textId="0115E809">
      <w:pPr>
        <w:spacing w:before="240" w:after="240" w:line="360" w:lineRule="auto"/>
        <w:jc w:val="both"/>
      </w:pPr>
      <w:r w:rsidRPr="0D203AD8">
        <w:rPr>
          <w:rFonts w:ascii="Times New Roman" w:hAnsi="Times New Roman" w:eastAsia="Times New Roman" w:cs="Times New Roman"/>
          <w:sz w:val="24"/>
          <w:szCs w:val="24"/>
        </w:rPr>
        <w:lastRenderedPageBreak/>
        <w:t>Com base nessa necessidade, este trabalho tem como objetivo apresentar o Jogo</w:t>
      </w:r>
      <w:r w:rsidRPr="0D203AD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D203AD8">
        <w:rPr>
          <w:rFonts w:ascii="Times New Roman" w:hAnsi="Times New Roman" w:eastAsia="Times New Roman" w:cs="Times New Roman"/>
          <w:sz w:val="24"/>
          <w:szCs w:val="24"/>
        </w:rPr>
        <w:t>Torre do Conheciment</w:t>
      </w:r>
      <w:r w:rsidRPr="0D203AD8" w:rsidR="6E3143C1">
        <w:rPr>
          <w:rFonts w:ascii="Times New Roman" w:hAnsi="Times New Roman" w:eastAsia="Times New Roman" w:cs="Times New Roman"/>
          <w:sz w:val="24"/>
          <w:szCs w:val="24"/>
        </w:rPr>
        <w:t>o</w:t>
      </w:r>
      <w:r w:rsidRPr="0D203AD8">
        <w:rPr>
          <w:rFonts w:ascii="Times New Roman" w:hAnsi="Times New Roman" w:eastAsia="Times New Roman" w:cs="Times New Roman"/>
          <w:sz w:val="24"/>
          <w:szCs w:val="24"/>
        </w:rPr>
        <w:t xml:space="preserve"> Manejo Sanitário na Produção de Avicultura, uma proposta pedagógica inovadora que utiliza a ludicidade como ferramenta de ensino. O jogo busca promover o aprendizado ativo e participativo sobre práticas de biosseguridade e higiene aplicadas à avicultura, estimulando o raciocínio crítico, a tomada de decisão e o trabalho em equipe. Além disso, pretende conscientizar os alunos sobre o impacto das boas práticas sanitárias na qualidade dos alimentos, na saúde pública e na sustentabilidade da atividade avícola, alinhando o ensino técnico à formação cidadã e à realidade do campo.</w:t>
      </w:r>
    </w:p>
    <w:p w:rsidR="73165685" w:rsidP="73165685" w:rsidRDefault="73165685" w14:paraId="3CE29AB1" w14:textId="708AB6A2">
      <w:pPr>
        <w:spacing w:after="0" w:line="240" w:lineRule="auto"/>
        <w:ind w:firstLine="709"/>
        <w:jc w:val="both"/>
        <w:rPr>
          <w:rFonts w:ascii="Times New Roman" w:hAnsi="Times New Roman" w:eastAsia="Arial Narrow" w:cs="Times New Roman"/>
          <w:color w:val="C00000"/>
          <w:sz w:val="24"/>
          <w:szCs w:val="24"/>
        </w:rPr>
      </w:pPr>
    </w:p>
    <w:p w:rsidRPr="00CC350E" w:rsidR="001065A1" w:rsidP="004925AE" w:rsidRDefault="00B52AE5" w14:paraId="2B4FD284" w14:textId="7810D14D">
      <w:pPr>
        <w:pStyle w:val="PargrafodaLista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eastAsia="Arial Narrow" w:cs="Times New Roman"/>
          <w:b/>
          <w:sz w:val="24"/>
          <w:szCs w:val="24"/>
        </w:rPr>
      </w:pPr>
      <w:r w:rsidRPr="00CC350E">
        <w:rPr>
          <w:rFonts w:ascii="Times New Roman" w:hAnsi="Times New Roman" w:eastAsia="Arial Narrow" w:cs="Times New Roman"/>
          <w:b/>
          <w:sz w:val="24"/>
          <w:szCs w:val="24"/>
        </w:rPr>
        <w:t>METODOLOGIA</w:t>
      </w:r>
      <w:r w:rsidRPr="00CC350E" w:rsidR="00CC350E">
        <w:rPr>
          <w:rFonts w:ascii="Times New Roman" w:hAnsi="Times New Roman" w:eastAsia="Arial Narrow" w:cs="Times New Roman"/>
          <w:b/>
          <w:sz w:val="24"/>
          <w:szCs w:val="24"/>
        </w:rPr>
        <w:t xml:space="preserve"> </w:t>
      </w:r>
    </w:p>
    <w:p w:rsidRPr="00E452F3" w:rsidR="001065A1" w:rsidRDefault="001065A1" w14:paraId="304BE546" w14:textId="77777777">
      <w:pPr>
        <w:spacing w:after="0" w:line="240" w:lineRule="auto"/>
        <w:ind w:firstLine="709"/>
        <w:jc w:val="both"/>
        <w:rPr>
          <w:rFonts w:ascii="Times New Roman" w:hAnsi="Times New Roman" w:eastAsia="Arial Narrow" w:cs="Times New Roman"/>
          <w:sz w:val="24"/>
          <w:szCs w:val="24"/>
        </w:rPr>
      </w:pPr>
    </w:p>
    <w:p w:rsidRPr="00E452F3" w:rsidR="001065A1" w:rsidP="606E850F" w:rsidRDefault="606E850F" w14:paraId="704382FE" w14:textId="726BB974">
      <w:pPr>
        <w:spacing w:before="240" w:after="240" w:line="240" w:lineRule="auto"/>
        <w:jc w:val="both"/>
      </w:pPr>
      <w:r w:rsidRPr="606E850F">
        <w:rPr>
          <w:rFonts w:ascii="Times New Roman" w:hAnsi="Times New Roman" w:eastAsia="Times New Roman" w:cs="Times New Roman"/>
          <w:sz w:val="24"/>
          <w:szCs w:val="24"/>
        </w:rPr>
        <w:t xml:space="preserve">A metodologia utilizada foi a </w:t>
      </w:r>
      <w:r w:rsidRPr="606E850F">
        <w:rPr>
          <w:rFonts w:ascii="Times New Roman" w:hAnsi="Times New Roman" w:eastAsia="Times New Roman" w:cs="Times New Roman"/>
          <w:b/>
          <w:bCs/>
          <w:sz w:val="24"/>
          <w:szCs w:val="24"/>
        </w:rPr>
        <w:t>aprendizagem lúdica baseada na torre de conhecimento</w:t>
      </w:r>
      <w:r w:rsidRPr="606E850F">
        <w:rPr>
          <w:rFonts w:ascii="Times New Roman" w:hAnsi="Times New Roman" w:eastAsia="Times New Roman" w:cs="Times New Roman"/>
          <w:sz w:val="24"/>
          <w:szCs w:val="24"/>
        </w:rPr>
        <w:t>, que consiste na aplicação de um jogo de perguntas e respostas com o objetivo de revisar e fixar conteúdos de forma dinâmica e participativa.</w:t>
      </w:r>
    </w:p>
    <w:p w:rsidRPr="00E452F3" w:rsidR="001065A1" w:rsidP="606E850F" w:rsidRDefault="606E850F" w14:paraId="31F4CAFB" w14:textId="132CEBA7">
      <w:pPr>
        <w:spacing w:before="240" w:after="240" w:line="240" w:lineRule="auto"/>
        <w:jc w:val="both"/>
      </w:pPr>
      <w:r w:rsidRPr="606E850F">
        <w:rPr>
          <w:rFonts w:ascii="Times New Roman" w:hAnsi="Times New Roman" w:eastAsia="Times New Roman" w:cs="Times New Roman"/>
          <w:sz w:val="24"/>
          <w:szCs w:val="24"/>
        </w:rPr>
        <w:t>Inicialmente, os discentes apresentaram brevemente o conteúdo a ser trabalhado. Em seguida, explica as regras do jogo: o jogo foi jogado em dupla, A cada acerto, a pessoa acumula pontos, incentivando o engajamento e a participação, as perguntas contêm níveis de dificuldades diferentes, quanto mais difícil a pergunta, mais pontos ela vale, promovendo raciocínio logico e a tomada de decisões.</w:t>
      </w:r>
    </w:p>
    <w:p w:rsidRPr="00E452F3" w:rsidR="001065A1" w:rsidP="606E850F" w:rsidRDefault="606E850F" w14:paraId="380C91C6" w14:textId="42E4BB70">
      <w:pPr>
        <w:spacing w:before="240" w:after="240" w:line="240" w:lineRule="auto"/>
        <w:jc w:val="both"/>
      </w:pPr>
      <w:r w:rsidRPr="606E850F">
        <w:rPr>
          <w:rFonts w:ascii="Times New Roman" w:hAnsi="Times New Roman" w:eastAsia="Times New Roman" w:cs="Times New Roman"/>
          <w:sz w:val="24"/>
          <w:szCs w:val="24"/>
        </w:rPr>
        <w:t>Caso o participante deixe a torre cair ele perde o jogo automaticamente.</w:t>
      </w:r>
    </w:p>
    <w:p w:rsidRPr="00E452F3" w:rsidR="00A413CF" w:rsidRDefault="00A413CF" w14:paraId="754568F8" w14:textId="77777777">
      <w:pPr>
        <w:spacing w:after="0" w:line="240" w:lineRule="auto"/>
        <w:ind w:firstLine="709"/>
        <w:jc w:val="both"/>
        <w:rPr>
          <w:rFonts w:ascii="Times New Roman" w:hAnsi="Times New Roman" w:eastAsia="Arial Narrow" w:cs="Times New Roman"/>
          <w:sz w:val="24"/>
          <w:szCs w:val="24"/>
        </w:rPr>
      </w:pPr>
    </w:p>
    <w:p w:rsidRPr="00CC350E" w:rsidR="001065A1" w:rsidP="004925AE" w:rsidRDefault="00B52AE5" w14:paraId="55412CEC" w14:textId="77777777">
      <w:pPr>
        <w:pStyle w:val="PargrafodaLista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eastAsia="Arial Narrow" w:cs="Times New Roman"/>
          <w:b/>
          <w:sz w:val="24"/>
          <w:szCs w:val="24"/>
        </w:rPr>
      </w:pPr>
      <w:r w:rsidRPr="00CC350E">
        <w:rPr>
          <w:rFonts w:ascii="Times New Roman" w:hAnsi="Times New Roman" w:eastAsia="Arial Narrow" w:cs="Times New Roman"/>
          <w:b/>
          <w:sz w:val="24"/>
          <w:szCs w:val="24"/>
        </w:rPr>
        <w:t>RESULTADOS E DISCUSSÕES</w:t>
      </w:r>
    </w:p>
    <w:p w:rsidRPr="00E452F3" w:rsidR="001065A1" w:rsidRDefault="001065A1" w14:paraId="40654B53" w14:textId="77777777">
      <w:pPr>
        <w:spacing w:after="0" w:line="240" w:lineRule="auto"/>
        <w:jc w:val="both"/>
        <w:rPr>
          <w:rFonts w:ascii="Times New Roman" w:hAnsi="Times New Roman" w:eastAsia="Arial Narrow" w:cs="Times New Roman"/>
          <w:b/>
          <w:sz w:val="24"/>
          <w:szCs w:val="24"/>
        </w:rPr>
      </w:pPr>
    </w:p>
    <w:p w:rsidR="606E850F" w:rsidP="606E850F" w:rsidRDefault="606E850F" w14:paraId="0B876087" w14:textId="2F6C112A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606E850F">
        <w:rPr>
          <w:rFonts w:ascii="Times New Roman" w:hAnsi="Times New Roman" w:eastAsia="Times New Roman" w:cs="Times New Roman"/>
          <w:sz w:val="24"/>
          <w:szCs w:val="24"/>
        </w:rPr>
        <w:t>A análise dos resultados obtidos durante a aplicação do jogo demonstrou que os objetivos propostos foram alcançados, uma vez que os participantes evidenciaram maior compreensão acerca das práticas de manejo sanitário, reconheceram a importância da prevenção de doenças e desenvolveram habilidades relacionadas à cooperação, comunicação e tomada de decisão.</w:t>
      </w:r>
    </w:p>
    <w:p w:rsidR="606E850F" w:rsidP="606E850F" w:rsidRDefault="606E850F" w14:paraId="17677D80" w14:textId="05D8893D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 w:rsidRPr="606E850F">
        <w:rPr>
          <w:rFonts w:ascii="Times New Roman" w:hAnsi="Times New Roman" w:eastAsia="Times New Roman" w:cs="Times New Roman"/>
          <w:sz w:val="24"/>
          <w:szCs w:val="24"/>
        </w:rPr>
        <w:t>Observou-se ainda que a interação entre estudantes da mesma turma e de outros cursos contribuiu significativamente para o enriquecimento da atividade, favorecendo a interdisciplinaridade e promovendo um ambiente de aprendizagem colaborativa. Esse aspecto reforça a eficácia das metodologias ativas na construção coletiva do conhecimento.</w:t>
      </w:r>
    </w:p>
    <w:p w:rsidR="606E850F" w:rsidP="606E850F" w:rsidRDefault="606E850F" w14:paraId="22304B34" w14:textId="35AEBF4C">
      <w:pPr>
        <w:pStyle w:val="PargrafodaLista"/>
        <w:spacing w:after="0" w:line="240" w:lineRule="auto"/>
        <w:jc w:val="both"/>
        <w:rPr>
          <w:rFonts w:ascii="Times New Roman" w:hAnsi="Times New Roman" w:eastAsia="Arial Narrow" w:cs="Times New Roman"/>
          <w:b/>
          <w:bCs/>
          <w:sz w:val="24"/>
          <w:szCs w:val="24"/>
        </w:rPr>
      </w:pPr>
    </w:p>
    <w:p w:rsidRPr="002F3514" w:rsidR="001065A1" w:rsidP="004925AE" w:rsidRDefault="00B52AE5" w14:paraId="498F0260" w14:textId="77777777">
      <w:pPr>
        <w:pStyle w:val="PargrafodaLista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eastAsia="Arial Narrow" w:cs="Times New Roman"/>
          <w:b/>
          <w:sz w:val="24"/>
          <w:szCs w:val="24"/>
        </w:rPr>
      </w:pPr>
      <w:r w:rsidRPr="73165685">
        <w:rPr>
          <w:rFonts w:ascii="Times New Roman" w:hAnsi="Times New Roman" w:eastAsia="Arial Narrow" w:cs="Times New Roman"/>
          <w:b/>
          <w:bCs/>
          <w:sz w:val="24"/>
          <w:szCs w:val="24"/>
        </w:rPr>
        <w:t>CONSIDERAÇÕES FINAIS</w:t>
      </w:r>
    </w:p>
    <w:p w:rsidR="73165685" w:rsidP="73165685" w:rsidRDefault="73165685" w14:paraId="2B3CA01D" w14:textId="18FC0DE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150E6C38" w:rsidP="73165685" w:rsidRDefault="150E6C38" w14:paraId="28A5F5B9" w14:textId="51DB4EA0">
      <w:pPr>
        <w:spacing w:after="0" w:line="240" w:lineRule="auto"/>
        <w:ind w:firstLine="720"/>
        <w:jc w:val="both"/>
      </w:pPr>
      <w:r w:rsidRPr="0D203AD8">
        <w:rPr>
          <w:rFonts w:ascii="Times New Roman" w:hAnsi="Times New Roman" w:eastAsia="Times New Roman" w:cs="Times New Roman"/>
          <w:sz w:val="24"/>
          <w:szCs w:val="24"/>
        </w:rPr>
        <w:t>O presente trabalho apresentou o Jogo Torre do Conhecimento – Manejo Sanitário na Produção de Avicultura, destacando a importância de metodologias ativas no processo de ensino-aprendizagem. A proposta buscou integrar teoria e prática por meio de uma abordagem lúdica, capaz de tornar o aprendizado sobre biosseguridade e higiene na avicultura mais dinâmico e significativo.</w:t>
      </w:r>
    </w:p>
    <w:p w:rsidR="150E6C38" w:rsidP="73165685" w:rsidRDefault="150E6C38" w14:paraId="0657338F" w14:textId="4C3A99F2">
      <w:pPr>
        <w:spacing w:before="240" w:after="240"/>
        <w:ind w:firstLine="720"/>
        <w:jc w:val="both"/>
      </w:pPr>
      <w:r w:rsidRPr="73165685">
        <w:rPr>
          <w:rFonts w:ascii="Times New Roman" w:hAnsi="Times New Roman" w:eastAsia="Times New Roman" w:cs="Times New Roman"/>
          <w:sz w:val="24"/>
          <w:szCs w:val="24"/>
        </w:rPr>
        <w:lastRenderedPageBreak/>
        <w:t>A análise dos resultados obtidos durante a aplicação do jogo evidenciou que os objetivos propostos foram alcançados, uma vez que os participantes demonstraram maior compreensão sobre as práticas de manejo sanitário, reconheceram a importância da prevenção de doenças e desenvolveram habilidades de cooperação e tomada de decisão. A interação entre os colegas de sala e de outros cursos contribuiu para o enriquecimento da atividade, promovendo a interdisciplinaridade e o aprendizado coletivo.</w:t>
      </w:r>
    </w:p>
    <w:p w:rsidR="150E6C38" w:rsidP="73165685" w:rsidRDefault="150E6C38" w14:paraId="6CEFA178" w14:textId="2952454B">
      <w:pPr>
        <w:spacing w:before="240" w:after="240"/>
        <w:ind w:firstLine="720"/>
        <w:jc w:val="both"/>
      </w:pPr>
      <w:r w:rsidRPr="73165685">
        <w:rPr>
          <w:rFonts w:ascii="Times New Roman" w:hAnsi="Times New Roman" w:eastAsia="Times New Roman" w:cs="Times New Roman"/>
          <w:sz w:val="24"/>
          <w:szCs w:val="24"/>
        </w:rPr>
        <w:t>A participação ativa dos estudantes e o apoio da orientadora docente foram fundamentais para o sucesso da proposta, garantindo o alinhamento entre o conteúdo técnico e a metodologia pedagógica. A orientação oferecida possibilitou a adequação do jogo às normas educacionais e reforçou sua aplicabilidade como recurso didático.</w:t>
      </w:r>
    </w:p>
    <w:p w:rsidR="150E6C38" w:rsidP="73165685" w:rsidRDefault="150E6C38" w14:paraId="3C437304" w14:textId="46780C8C">
      <w:pPr>
        <w:spacing w:before="240" w:after="24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3165685">
        <w:rPr>
          <w:rFonts w:ascii="Times New Roman" w:hAnsi="Times New Roman" w:eastAsia="Times New Roman" w:cs="Times New Roman"/>
          <w:sz w:val="24"/>
          <w:szCs w:val="24"/>
        </w:rPr>
        <w:t xml:space="preserve">Conclui-se que o jogo Torre do Conhecimento é uma ferramenta eficaz para o ensino de avicultura, pois promove o envolvimento dos alunos, estimula o pensamento crítico e reforça a importância das boas práticas sanitárias na produção de alimentos. Assim, o trabalho cumpre seu propósito de contribuir para a formação técnica e cidadã dos estudantes. </w:t>
      </w:r>
    </w:p>
    <w:p w:rsidRPr="003E2E7C" w:rsidR="003E2E7C" w:rsidP="73165685" w:rsidRDefault="003E2E7C" w14:paraId="26B6406B" w14:textId="436A5E9F">
      <w:pPr>
        <w:spacing w:before="240" w:after="240"/>
        <w:ind w:firstLine="7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3E2E7C">
        <w:rPr>
          <w:rFonts w:ascii="Times New Roman" w:hAnsi="Times New Roman" w:eastAsia="Times New Roman" w:cs="Times New Roman"/>
          <w:b/>
          <w:bCs/>
          <w:sz w:val="24"/>
          <w:szCs w:val="24"/>
        </w:rPr>
        <w:t>5. ANEXOS</w:t>
      </w:r>
    </w:p>
    <w:p w:rsidR="003E2E7C" w:rsidP="00A57BB4" w:rsidRDefault="003E2E7C" w14:paraId="4252D664" w14:textId="01CDF9BD">
      <w:pPr>
        <w:spacing w:before="240" w:after="240"/>
        <w:jc w:val="both"/>
        <w:rPr>
          <w:rFonts w:ascii="Times New Roman" w:hAnsi="Times New Roman" w:eastAsia="Times New Roman" w:cs="Times New Roman"/>
          <w:noProof/>
          <w:sz w:val="24"/>
          <w:szCs w:val="24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noProof/>
          <w:sz w:val="24"/>
          <w:szCs w:val="24"/>
        </w:rPr>
        <w:drawing>
          <wp:inline distT="0" distB="0" distL="0" distR="0" wp14:anchorId="5B093131" wp14:editId="7EB8A783">
            <wp:extent cx="2544445" cy="4523278"/>
            <wp:effectExtent l="0" t="0" r="8255" b="0"/>
            <wp:docPr id="22261421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14212" name="Imagem 2226142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892" cy="453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7BB4">
        <w:rPr>
          <w:rFonts w:ascii="Times New Roman" w:hAnsi="Times New Roman" w:eastAsia="Times New Roman" w:cs="Times New Roman"/>
          <w:noProof/>
          <w:sz w:val="24"/>
          <w:szCs w:val="24"/>
        </w:rPr>
        <w:t xml:space="preserve">    </w:t>
      </w:r>
      <w:r w:rsidR="00A57BB4">
        <w:rPr>
          <w:rFonts w:ascii="Times New Roman" w:hAnsi="Times New Roman" w:eastAsia="Times New Roman" w:cs="Times New Roman"/>
          <w:noProof/>
          <w:sz w:val="24"/>
          <w:szCs w:val="24"/>
        </w:rPr>
        <w:drawing>
          <wp:inline distT="0" distB="0" distL="0" distR="0" wp14:anchorId="61DE4C82" wp14:editId="01762BD7">
            <wp:extent cx="2403253" cy="4272280"/>
            <wp:effectExtent l="0" t="0" r="0" b="0"/>
            <wp:docPr id="56357192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571920" name="Imagem 56357192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987" cy="428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BB4" w:rsidP="00A57BB4" w:rsidRDefault="00A57BB4" w14:paraId="4FF25BD7" w14:textId="011CFDF7">
      <w:pPr>
        <w:spacing w:before="240" w:after="240"/>
        <w:jc w:val="both"/>
        <w:rPr>
          <w:rFonts w:ascii="Times New Roman" w:hAnsi="Times New Roman" w:eastAsia="Times New Roman" w:cs="Times New Roman"/>
          <w:noProof/>
          <w:sz w:val="24"/>
          <w:szCs w:val="24"/>
        </w:rPr>
      </w:pPr>
    </w:p>
    <w:p w:rsidR="00A57BB4" w:rsidP="00A57BB4" w:rsidRDefault="00A57BB4" w14:paraId="43D386F9" w14:textId="1C84F599">
      <w:pPr>
        <w:spacing w:before="240" w:after="240"/>
        <w:jc w:val="both"/>
        <w:rPr>
          <w:rFonts w:ascii="Times New Roman" w:hAnsi="Times New Roman" w:eastAsia="Times New Roman" w:cs="Times New Roman"/>
          <w:noProof/>
          <w:sz w:val="24"/>
          <w:szCs w:val="24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</w:rPr>
        <w:lastRenderedPageBreak/>
        <w:drawing>
          <wp:inline distT="0" distB="0" distL="0" distR="0" wp14:anchorId="1EC9A2F8" wp14:editId="22C1D787">
            <wp:extent cx="2338414" cy="4157015"/>
            <wp:effectExtent l="0" t="0" r="5080" b="0"/>
            <wp:docPr id="188046696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466968" name="Imagem 188046696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134" cy="417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noProof/>
          <w:sz w:val="24"/>
          <w:szCs w:val="24"/>
        </w:rPr>
        <w:drawing>
          <wp:inline distT="0" distB="0" distL="0" distR="0" wp14:anchorId="33CEB577" wp14:editId="34EA7CC8">
            <wp:extent cx="2574710" cy="4577080"/>
            <wp:effectExtent l="0" t="0" r="0" b="0"/>
            <wp:docPr id="200071827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718271" name="Imagem 200071827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826" cy="4586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BB4" w:rsidP="00A57BB4" w:rsidRDefault="00A57BB4" w14:paraId="2A8FB61E" w14:textId="13809DDB">
      <w:pPr>
        <w:spacing w:before="240" w:after="240"/>
        <w:jc w:val="both"/>
        <w:rPr>
          <w:rFonts w:ascii="Times New Roman" w:hAnsi="Times New Roman" w:eastAsia="Times New Roman" w:cs="Times New Roman"/>
          <w:noProof/>
          <w:sz w:val="24"/>
          <w:szCs w:val="24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</w:rPr>
        <w:drawing>
          <wp:inline distT="0" distB="0" distL="0" distR="0" wp14:anchorId="42934681" wp14:editId="22370C95">
            <wp:extent cx="1995593" cy="3547580"/>
            <wp:effectExtent l="0" t="0" r="5080" b="0"/>
            <wp:docPr id="38881852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818522" name="Imagem 3888185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03489" cy="356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noProof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noProof/>
          <w:sz w:val="24"/>
          <w:szCs w:val="24"/>
        </w:rPr>
        <w:drawing>
          <wp:inline distT="0" distB="0" distL="0" distR="0" wp14:anchorId="3C6232E2" wp14:editId="4834874A">
            <wp:extent cx="2306808" cy="4100830"/>
            <wp:effectExtent l="0" t="0" r="0" b="0"/>
            <wp:docPr id="2030791699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791699" name="Imagem 203079169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369" cy="41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E7C" w:rsidP="73165685" w:rsidRDefault="003E2E7C" w14:paraId="7BA78A7F" w14:textId="43C69C8D">
      <w:pPr>
        <w:spacing w:before="240" w:after="24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73165685" w:rsidP="73165685" w:rsidRDefault="73165685" w14:paraId="73C3E478" w14:textId="2B0BD571">
      <w:pPr>
        <w:spacing w:after="0" w:line="240" w:lineRule="auto"/>
        <w:jc w:val="both"/>
        <w:rPr>
          <w:rFonts w:ascii="Times New Roman" w:hAnsi="Times New Roman" w:eastAsia="Arial Narrow" w:cs="Times New Roman"/>
          <w:sz w:val="24"/>
          <w:szCs w:val="24"/>
        </w:rPr>
      </w:pPr>
    </w:p>
    <w:p w:rsidRPr="00E452F3" w:rsidR="001065A1" w:rsidP="606E850F" w:rsidRDefault="606E850F" w14:paraId="2B268BAA" w14:textId="4AA1B70D">
      <w:pPr>
        <w:spacing w:after="0" w:line="240" w:lineRule="auto"/>
        <w:jc w:val="both"/>
        <w:rPr>
          <w:rFonts w:ascii="Times New Roman" w:hAnsi="Times New Roman" w:eastAsia="Arial Narrow" w:cs="Times New Roman"/>
          <w:b/>
          <w:bCs/>
          <w:sz w:val="24"/>
          <w:szCs w:val="24"/>
        </w:rPr>
      </w:pPr>
      <w:r w:rsidRPr="606E850F">
        <w:rPr>
          <w:rFonts w:ascii="Times New Roman" w:hAnsi="Times New Roman" w:eastAsia="Arial Narrow" w:cs="Times New Roman"/>
          <w:b/>
          <w:bCs/>
          <w:sz w:val="24"/>
          <w:szCs w:val="24"/>
        </w:rPr>
        <w:t>REFERÊNCIAS</w:t>
      </w:r>
    </w:p>
    <w:p w:rsidRPr="00E452F3" w:rsidR="001065A1" w:rsidP="606E850F" w:rsidRDefault="001065A1" w14:paraId="1CF11882" w14:textId="12E0D625">
      <w:pPr>
        <w:spacing w:after="0" w:line="240" w:lineRule="auto"/>
        <w:ind w:firstLine="709"/>
        <w:jc w:val="both"/>
        <w:rPr>
          <w:rFonts w:ascii="Times New Roman" w:hAnsi="Times New Roman" w:eastAsia="Arial Narrow" w:cs="Times New Roman"/>
          <w:sz w:val="24"/>
          <w:szCs w:val="24"/>
        </w:rPr>
      </w:pPr>
    </w:p>
    <w:p w:rsidRPr="00E452F3" w:rsidR="001065A1" w:rsidP="73165685" w:rsidRDefault="39CF991E" w14:paraId="34404A8C" w14:textId="3874ED27">
      <w:pPr>
        <w:spacing w:before="240" w:after="240" w:line="240" w:lineRule="auto"/>
      </w:pPr>
      <w:r w:rsidRPr="73165685">
        <w:rPr>
          <w:rFonts w:ascii="Times New Roman" w:hAnsi="Times New Roman" w:eastAsia="Times New Roman" w:cs="Times New Roman"/>
          <w:sz w:val="24"/>
          <w:szCs w:val="24"/>
        </w:rPr>
        <w:t xml:space="preserve">BRASIL. </w:t>
      </w:r>
      <w:r w:rsidRPr="73165685">
        <w:rPr>
          <w:rFonts w:ascii="Times New Roman" w:hAnsi="Times New Roman" w:eastAsia="Times New Roman" w:cs="Times New Roman"/>
          <w:b/>
          <w:bCs/>
          <w:sz w:val="24"/>
          <w:szCs w:val="24"/>
        </w:rPr>
        <w:t>Ministério da Agricultura e Pecuária. Programa Nacional de Sanidade Avícola (PNSA)</w:t>
      </w:r>
      <w:r w:rsidRPr="73165685">
        <w:rPr>
          <w:rFonts w:ascii="Times New Roman" w:hAnsi="Times New Roman" w:eastAsia="Times New Roman" w:cs="Times New Roman"/>
          <w:sz w:val="24"/>
          <w:szCs w:val="24"/>
        </w:rPr>
        <w:t xml:space="preserve">. Brasília: MAPA, 1994. Atualizado em 2025. Disponível em: </w:t>
      </w:r>
      <w:hyperlink r:id="rId15">
        <w:r w:rsidRPr="73165685">
          <w:rPr>
            <w:rStyle w:val="Hyperlink"/>
            <w:rFonts w:ascii="Consolas" w:hAnsi="Consolas" w:eastAsia="Consolas" w:cs="Consolas"/>
            <w:sz w:val="24"/>
            <w:szCs w:val="24"/>
          </w:rPr>
          <w:t>https://www.gov.br/agricultura/pt-br/assuntos/pnsa</w:t>
        </w:r>
      </w:hyperlink>
      <w:r w:rsidRPr="73165685">
        <w:rPr>
          <w:rFonts w:ascii="Times New Roman" w:hAnsi="Times New Roman" w:eastAsia="Times New Roman" w:cs="Times New Roman"/>
          <w:sz w:val="24"/>
          <w:szCs w:val="24"/>
        </w:rPr>
        <w:t xml:space="preserve"> (gov.br in Bing). Acesso em: 27 mar. 2026.</w:t>
      </w:r>
    </w:p>
    <w:p w:rsidRPr="00E452F3" w:rsidR="001065A1" w:rsidP="606E850F" w:rsidRDefault="606E850F" w14:paraId="054557F1" w14:textId="3E7C2E1D">
      <w:pPr>
        <w:spacing w:before="240" w:after="240" w:line="240" w:lineRule="auto"/>
      </w:pPr>
      <w:r w:rsidRPr="606E850F">
        <w:rPr>
          <w:rFonts w:ascii="Times New Roman" w:hAnsi="Times New Roman" w:eastAsia="Times New Roman" w:cs="Times New Roman"/>
          <w:sz w:val="24"/>
          <w:szCs w:val="24"/>
        </w:rPr>
        <w:t xml:space="preserve">ASSOCIAÇÃO BRASILEIRA DE PROTEÍNA ANIMAL (ABPA). </w:t>
      </w:r>
      <w:r w:rsidRPr="606E850F">
        <w:rPr>
          <w:rFonts w:ascii="Times New Roman" w:hAnsi="Times New Roman" w:eastAsia="Times New Roman" w:cs="Times New Roman"/>
          <w:b/>
          <w:bCs/>
          <w:sz w:val="24"/>
          <w:szCs w:val="24"/>
        </w:rPr>
        <w:t>Procedimentos de biosseguridade para o setor de aves</w:t>
      </w:r>
      <w:r w:rsidRPr="606E850F">
        <w:rPr>
          <w:rFonts w:ascii="Times New Roman" w:hAnsi="Times New Roman" w:eastAsia="Times New Roman" w:cs="Times New Roman"/>
          <w:sz w:val="24"/>
          <w:szCs w:val="24"/>
        </w:rPr>
        <w:t>. São Paulo: ABPA, 2025. Disponível em: &lt;https://abpa-br.org&gt;. Acesso em: 27 mar. 2026.</w:t>
      </w:r>
    </w:p>
    <w:p w:rsidRPr="00E452F3" w:rsidR="001065A1" w:rsidRDefault="001065A1" w14:paraId="4F6F65B7" w14:textId="77777777">
      <w:pPr>
        <w:tabs>
          <w:tab w:val="left" w:pos="720"/>
        </w:tabs>
        <w:spacing w:before="120" w:after="0" w:line="240" w:lineRule="auto"/>
        <w:jc w:val="center"/>
        <w:rPr>
          <w:rFonts w:ascii="Times New Roman" w:hAnsi="Times New Roman" w:eastAsia="Arial Narrow" w:cs="Times New Roman"/>
          <w:b/>
          <w:sz w:val="24"/>
          <w:szCs w:val="24"/>
        </w:rPr>
      </w:pPr>
    </w:p>
    <w:sectPr w:rsidRPr="00E452F3" w:rsidR="001065A1" w:rsidSect="00CC350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orient="portrait"/>
      <w:pgMar w:top="1701" w:right="1134" w:bottom="1134" w:left="1701" w:header="142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0F25" w:rsidRDefault="00BB0F25" w14:paraId="25DF3C78" w14:textId="77777777">
      <w:pPr>
        <w:spacing w:after="0" w:line="240" w:lineRule="auto"/>
      </w:pPr>
      <w:r>
        <w:separator/>
      </w:r>
    </w:p>
  </w:endnote>
  <w:endnote w:type="continuationSeparator" w:id="0">
    <w:p w:rsidR="00BB0F25" w:rsidRDefault="00BB0F25" w14:paraId="53D246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2F3D" w:rsidRDefault="00612F3D" w14:paraId="6EC7EAA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65A1" w:rsidRDefault="0022490E" w14:paraId="79B5C7DF" w14:textId="7895DB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FF0000"/>
      </w:rPr>
    </w:pPr>
    <w:r>
      <w:rPr>
        <w:color w:val="FF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2F3D" w:rsidRDefault="00612F3D" w14:paraId="543A3EB8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0F25" w:rsidRDefault="00BB0F25" w14:paraId="42D01526" w14:textId="77777777">
      <w:pPr>
        <w:spacing w:after="0" w:line="240" w:lineRule="auto"/>
      </w:pPr>
      <w:r>
        <w:separator/>
      </w:r>
    </w:p>
  </w:footnote>
  <w:footnote w:type="continuationSeparator" w:id="0">
    <w:p w:rsidR="00BB0F25" w:rsidRDefault="00BB0F25" w14:paraId="702675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2F3D" w:rsidRDefault="00612F3D" w14:paraId="42957EDC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490E" w:rsidP="0022490E" w:rsidRDefault="0022490E" w14:paraId="4560834D" w14:textId="678D6A17">
    <w:pPr>
      <w:spacing w:line="240" w:lineRule="auto"/>
      <w:rPr>
        <w:rFonts w:ascii="Cooper Black" w:hAnsi="Cooper Black"/>
      </w:rPr>
    </w:pPr>
  </w:p>
  <w:p w:rsidR="0022490E" w:rsidP="0022490E" w:rsidRDefault="0022490E" w14:paraId="10CE68E3" w14:textId="4C1CA070">
    <w:pPr>
      <w:spacing w:after="0" w:line="240" w:lineRule="auto"/>
      <w:jc w:val="center"/>
      <w:rPr>
        <w:rFonts w:ascii="Arial Black" w:hAnsi="Arial Black"/>
        <w:color w:val="ED7D31" w:themeColor="accent2"/>
        <w:sz w:val="18"/>
        <w:szCs w:val="18"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5400000" w14:scaled="0"/>
          </w14:gradFill>
        </w14:textFill>
      </w:rPr>
    </w:pPr>
  </w:p>
  <w:p w:rsidR="0022490E" w:rsidP="0022490E" w:rsidRDefault="0022490E" w14:paraId="33D4A99C" w14:textId="43F64634">
    <w:pPr>
      <w:spacing w:after="0" w:line="240" w:lineRule="auto"/>
      <w:jc w:val="center"/>
      <w:rPr>
        <w:rFonts w:ascii="Arial Black" w:hAnsi="Arial Black"/>
        <w:color w:val="ED7D31" w:themeColor="accent2"/>
        <w:sz w:val="18"/>
        <w:szCs w:val="18"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5400000" w14:scaled="0"/>
          </w14:gradFill>
        </w14:textFill>
      </w:rPr>
    </w:pPr>
  </w:p>
  <w:p w:rsidRPr="0022490E" w:rsidR="0022490E" w:rsidP="0022490E" w:rsidRDefault="0022490E" w14:paraId="226F4D15" w14:textId="509C5D54">
    <w:pPr>
      <w:spacing w:after="0" w:line="240" w:lineRule="auto"/>
      <w:jc w:val="center"/>
      <w:rPr>
        <w:rFonts w:ascii="Arial Black" w:hAnsi="Arial Black"/>
        <w:color w:val="ED7D31" w:themeColor="accent2"/>
        <w:sz w:val="18"/>
        <w:szCs w:val="18"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5400000" w14:scaled="0"/>
          </w14:gradFill>
        </w14:textFill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2F3D" w:rsidRDefault="00612F3D" w14:paraId="6F82C21D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04D68"/>
    <w:multiLevelType w:val="multilevel"/>
    <w:tmpl w:val="A78E98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B503142"/>
    <w:multiLevelType w:val="hybridMultilevel"/>
    <w:tmpl w:val="46D6E5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0309E"/>
    <w:multiLevelType w:val="multilevel"/>
    <w:tmpl w:val="9490FAB2"/>
    <w:lvl w:ilvl="0">
      <w:start w:val="1"/>
      <w:numFmt w:val="bullet"/>
      <w:lvlText w:val="✔"/>
      <w:lvlJc w:val="left"/>
      <w:pPr>
        <w:ind w:left="1428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hAnsi="Noto Sans Symbols" w:eastAsia="Noto Sans Symbols" w:cs="Noto Sans Symbols"/>
      </w:rPr>
    </w:lvl>
  </w:abstractNum>
  <w:num w:numId="1" w16cid:durableId="1089044328">
    <w:abstractNumId w:val="2"/>
  </w:num>
  <w:num w:numId="2" w16cid:durableId="383911206">
    <w:abstractNumId w:val="1"/>
  </w:num>
  <w:num w:numId="3" w16cid:durableId="171357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5A1"/>
    <w:rsid w:val="000C1794"/>
    <w:rsid w:val="000C636B"/>
    <w:rsid w:val="001065A1"/>
    <w:rsid w:val="001322F2"/>
    <w:rsid w:val="00162941"/>
    <w:rsid w:val="001C13BB"/>
    <w:rsid w:val="0022490E"/>
    <w:rsid w:val="002F3514"/>
    <w:rsid w:val="003E2E7C"/>
    <w:rsid w:val="003E4508"/>
    <w:rsid w:val="004925AE"/>
    <w:rsid w:val="004E3012"/>
    <w:rsid w:val="00526163"/>
    <w:rsid w:val="00612F3D"/>
    <w:rsid w:val="006458DD"/>
    <w:rsid w:val="006A3112"/>
    <w:rsid w:val="006E10B3"/>
    <w:rsid w:val="007C1A7E"/>
    <w:rsid w:val="008A0F3F"/>
    <w:rsid w:val="00A413CF"/>
    <w:rsid w:val="00A548E6"/>
    <w:rsid w:val="00A57BB4"/>
    <w:rsid w:val="00B52AE5"/>
    <w:rsid w:val="00B80CFE"/>
    <w:rsid w:val="00BB0F25"/>
    <w:rsid w:val="00CC350E"/>
    <w:rsid w:val="00D457B0"/>
    <w:rsid w:val="00E452F3"/>
    <w:rsid w:val="00EC7D2A"/>
    <w:rsid w:val="00F405E5"/>
    <w:rsid w:val="0B1B9E1B"/>
    <w:rsid w:val="0C523BDF"/>
    <w:rsid w:val="0D203AD8"/>
    <w:rsid w:val="0D3D97BF"/>
    <w:rsid w:val="114C98BC"/>
    <w:rsid w:val="1342C79B"/>
    <w:rsid w:val="150E6C38"/>
    <w:rsid w:val="16EF6BA6"/>
    <w:rsid w:val="1C8B78C5"/>
    <w:rsid w:val="1D3B5547"/>
    <w:rsid w:val="1D64243A"/>
    <w:rsid w:val="1F3A841C"/>
    <w:rsid w:val="264D6B59"/>
    <w:rsid w:val="296EC6C0"/>
    <w:rsid w:val="2CACD327"/>
    <w:rsid w:val="302E0038"/>
    <w:rsid w:val="35E8BBCB"/>
    <w:rsid w:val="39CF991E"/>
    <w:rsid w:val="3E2E5E57"/>
    <w:rsid w:val="3EEB9936"/>
    <w:rsid w:val="408D27BD"/>
    <w:rsid w:val="42BD12FC"/>
    <w:rsid w:val="439367FE"/>
    <w:rsid w:val="440221F7"/>
    <w:rsid w:val="462BCBD3"/>
    <w:rsid w:val="47EF21E4"/>
    <w:rsid w:val="4A956846"/>
    <w:rsid w:val="4C9C2EC6"/>
    <w:rsid w:val="4E622615"/>
    <w:rsid w:val="4F38DCD5"/>
    <w:rsid w:val="5093A8AF"/>
    <w:rsid w:val="528CCE2A"/>
    <w:rsid w:val="56695DF9"/>
    <w:rsid w:val="5A0EDB8A"/>
    <w:rsid w:val="5A83B348"/>
    <w:rsid w:val="5BB66E60"/>
    <w:rsid w:val="60352789"/>
    <w:rsid w:val="606E850F"/>
    <w:rsid w:val="65574290"/>
    <w:rsid w:val="66C199C1"/>
    <w:rsid w:val="67D94812"/>
    <w:rsid w:val="685FF9DF"/>
    <w:rsid w:val="6B34D7C3"/>
    <w:rsid w:val="6B44BA5B"/>
    <w:rsid w:val="6C2FF06C"/>
    <w:rsid w:val="6C5402B1"/>
    <w:rsid w:val="6E3143C1"/>
    <w:rsid w:val="70288BBB"/>
    <w:rsid w:val="711CE10D"/>
    <w:rsid w:val="712AE10B"/>
    <w:rsid w:val="73165685"/>
    <w:rsid w:val="739808CD"/>
    <w:rsid w:val="74C5594A"/>
    <w:rsid w:val="74E0DB0A"/>
    <w:rsid w:val="762E4E79"/>
    <w:rsid w:val="76B66ED6"/>
    <w:rsid w:val="76F74BFA"/>
    <w:rsid w:val="771FD841"/>
    <w:rsid w:val="7B1E154F"/>
    <w:rsid w:val="7C4B2E32"/>
    <w:rsid w:val="7CCC3988"/>
    <w:rsid w:val="7D6FE8C5"/>
    <w:rsid w:val="7D873615"/>
    <w:rsid w:val="7DE5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FE3F6"/>
  <w15:docId w15:val="{CDF1D4B6-378E-4DEE-B5A3-77B389B5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020E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020E2"/>
  </w:style>
  <w:style w:type="paragraph" w:styleId="Rodap">
    <w:name w:val="footer"/>
    <w:basedOn w:val="Normal"/>
    <w:link w:val="RodapChar"/>
    <w:uiPriority w:val="99"/>
    <w:unhideWhenUsed/>
    <w:rsid w:val="005020E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020E2"/>
  </w:style>
  <w:style w:type="paragraph" w:styleId="PargrafodaLista">
    <w:name w:val="List Paragraph"/>
    <w:basedOn w:val="Normal"/>
    <w:uiPriority w:val="34"/>
    <w:qFormat/>
    <w:rsid w:val="004925AE"/>
    <w:pPr>
      <w:contextualSpacing/>
    </w:pPr>
  </w:style>
  <w:style w:type="paragraph" w:styleId="Legenda1" w:customStyle="1">
    <w:name w:val="Legenda1"/>
    <w:basedOn w:val="Normal"/>
    <w:next w:val="Normal"/>
    <w:rsid w:val="009F225B"/>
    <w:pPr>
      <w:suppressAutoHyphens/>
      <w:spacing w:before="120" w:after="120" w:line="240" w:lineRule="auto"/>
    </w:pPr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character" w:styleId="Hyperlink">
    <w:name w:val="Hyperlink"/>
    <w:uiPriority w:val="99"/>
    <w:unhideWhenUsed/>
    <w:rsid w:val="009F225B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F22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225B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9F22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225B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9F225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9F225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25AE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4925A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925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jpeg" Id="rId13" /><Relationship Type="http://schemas.openxmlformats.org/officeDocument/2006/relationships/footer" Target="footer1.xml" Id="rId18" /><Relationship Type="http://schemas.openxmlformats.org/officeDocument/2006/relationships/numbering" Target="numbering.xml" Id="rId3" /><Relationship Type="http://schemas.openxmlformats.org/officeDocument/2006/relationships/footer" Target="footer3.xml" Id="rId21" /><Relationship Type="http://schemas.openxmlformats.org/officeDocument/2006/relationships/footnotes" Target="footnotes.xml" Id="rId7" /><Relationship Type="http://schemas.openxmlformats.org/officeDocument/2006/relationships/image" Target="media/image4.jpeg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jpeg" Id="rId11" /><Relationship Type="http://schemas.openxmlformats.org/officeDocument/2006/relationships/settings" Target="settings.xml" Id="rId5" /><Relationship Type="http://schemas.openxmlformats.org/officeDocument/2006/relationships/hyperlink" Target="https://www.gov.br/agricultura/pt-br/assuntos/pnsa" TargetMode="External" Id="rId15" /><Relationship Type="http://schemas.openxmlformats.org/officeDocument/2006/relationships/theme" Target="theme/theme1.xml" Id="rId23" /><Relationship Type="http://schemas.openxmlformats.org/officeDocument/2006/relationships/image" Target="media/image2.jpeg" Id="rId10" /><Relationship Type="http://schemas.openxmlformats.org/officeDocument/2006/relationships/footer" Target="footer2.xml" Id="rId19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image" Target="media/image6.jpeg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800b418a-7ee7-4f05-ab1b-b2b2cc343fef">
  <we:reference id="WA200005502" version="1.0.0.12" store="en-US" storeType="omex"/>
  <we:alternateReferences>
    <we:reference id="WA200005502" version="1.0.0.12" store="en-US" storeType="omex"/>
  </we:alternateReferences>
  <we:properties>
    <we:property name="docId" value="&quot;eErbRkBJtXPPRqRYZGyIP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o7I0A0em+woBTz3PMGShB8cBqg==">AMUW2mVsGHVDEOelQrcP6pteE0frO19l39cY86vZdvVD0JTLhhNiih37DfSTNOzkuVGnR5TgbBYw2Oht0Jy1b4ad4SncnlW0viLY3obW6oPMmKfsjVwzPNsXwxp+nFAQlX0DSo5Bi6wo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B78675-FA9E-4431-8218-689B0205EA3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Eline Almeida Santos</dc:creator>
  <lastModifiedBy>laizasecundaria2023@gmail.com</lastModifiedBy>
  <revision>3</revision>
  <lastPrinted>2026-04-19T13:49:00.0000000Z</lastPrinted>
  <dcterms:created xsi:type="dcterms:W3CDTF">2026-04-19T14:03:00.0000000Z</dcterms:created>
  <dcterms:modified xsi:type="dcterms:W3CDTF">2026-04-20T15:19:00.4611516Z</dcterms:modified>
</coreProperties>
</file>